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7" w:rsidRP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br/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2268"/>
        <w:gridCol w:w="2410"/>
        <w:gridCol w:w="2552"/>
      </w:tblGrid>
      <w:tr w:rsidR="00C42A27" w:rsidRPr="00C42A27" w:rsidTr="00585DD8">
        <w:trPr>
          <w:trHeight w:val="5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B03C71" w:rsidP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Minor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8773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68773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Personal and behavioral finance</w:t>
            </w:r>
          </w:p>
        </w:tc>
      </w:tr>
      <w:tr w:rsidR="00C42A27" w:rsidRPr="00FE23F5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3C71" w:rsidRDefault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68773D" w:rsidRDefault="0068773D" w:rsidP="00FE23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585DD8"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Personal Finance and </w:t>
            </w:r>
            <w:r w:rsidR="00FE23F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="00585DD8"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inancial </w:t>
            </w:r>
            <w:r w:rsidR="00FE23F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="00585DD8"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ath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68773D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3D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73D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D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D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180</w:t>
            </w:r>
          </w:p>
        </w:tc>
      </w:tr>
      <w:tr w:rsidR="00C42A27" w:rsidRPr="0068773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CD47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B53389" w:rsidRDefault="00585DD8" w:rsidP="009E3979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85DD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LO1</w:t>
            </w:r>
            <w:r w:rsidRPr="00585DD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ab/>
              <w:t xml:space="preserve">LO </w:t>
            </w:r>
            <w:r w:rsidR="009E3979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2</w:t>
            </w:r>
            <w:r w:rsidRPr="00585DD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85DD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ab/>
              <w:t>LO</w:t>
            </w:r>
            <w:r w:rsidR="009E3979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3</w:t>
            </w:r>
          </w:p>
        </w:tc>
      </w:tr>
      <w:tr w:rsidR="00613DCA" w:rsidRPr="0068773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DD8" w:rsidRPr="00585DD8" w:rsidRDefault="00585DD8" w:rsidP="00585DD8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Macro, microfactors that determine the financial environment</w:t>
            </w:r>
          </w:p>
          <w:p w:rsidR="00585DD8" w:rsidRPr="00585DD8" w:rsidRDefault="00585DD8" w:rsidP="00585DD8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Financial information and financial assets</w:t>
            </w:r>
          </w:p>
          <w:p w:rsidR="00585DD8" w:rsidRPr="00585DD8" w:rsidRDefault="00585DD8" w:rsidP="00585DD8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Time value of money, cash flow theory</w:t>
            </w:r>
          </w:p>
          <w:p w:rsidR="00585DD8" w:rsidRPr="00585DD8" w:rsidRDefault="00585DD8" w:rsidP="00585DD8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Analysis of individual financial statements</w:t>
            </w:r>
          </w:p>
          <w:p w:rsidR="00585DD8" w:rsidRPr="00585DD8" w:rsidRDefault="00585DD8" w:rsidP="00585DD8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Financial planning</w:t>
            </w:r>
          </w:p>
          <w:p w:rsidR="00585DD8" w:rsidRPr="00585DD8" w:rsidRDefault="00585DD8" w:rsidP="00585DD8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Tax planning</w:t>
            </w:r>
          </w:p>
          <w:p w:rsidR="00585DD8" w:rsidRPr="00585DD8" w:rsidRDefault="00585DD8" w:rsidP="00585DD8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Consumption strategies</w:t>
            </w:r>
          </w:p>
          <w:p w:rsidR="00585DD8" w:rsidRPr="00585DD8" w:rsidRDefault="00585DD8" w:rsidP="00585DD8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Personal risk management</w:t>
            </w:r>
          </w:p>
          <w:p w:rsidR="00B03C71" w:rsidRPr="00585DD8" w:rsidRDefault="00585DD8" w:rsidP="00585DD8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Housing Economy</w:t>
            </w:r>
          </w:p>
        </w:tc>
      </w:tr>
      <w:tr w:rsidR="00C42A27" w:rsidRPr="0068773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DD8" w:rsidRPr="00585DD8" w:rsidRDefault="00B378B3" w:rsidP="00585D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78B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course is based on the active learning technologies, mostly at case studies. Teaching and learning methods include lectures, tutorials, seminars, case studies, group work, home assignments (individ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ual and group projects). Assessment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585DD8"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includes the final exam grade (50%), in-class participation (20%) and home assignments (30%).</w:t>
            </w:r>
          </w:p>
          <w:p w:rsidR="00585DD8" w:rsidRPr="00585DD8" w:rsidRDefault="00585DD8" w:rsidP="00585D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final exam consists of questions for each topic of the course and lasts 80 minutes. The maximal grade for the exam is 100 points.</w:t>
            </w:r>
          </w:p>
          <w:p w:rsidR="00585DD8" w:rsidRPr="00585DD8" w:rsidRDefault="00585DD8" w:rsidP="00585D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in-class participation covered the attendance and in-class activity. The maximal grade for the in-class participation is 20 points.</w:t>
            </w:r>
          </w:p>
          <w:p w:rsidR="00C42A27" w:rsidRDefault="00585DD8" w:rsidP="00585D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home assignments can be completed both individually and in groups (up to 5 participants). The maximal grade for an assignment is 100 points.</w:t>
            </w:r>
          </w:p>
        </w:tc>
      </w:tr>
      <w:tr w:rsidR="00C42A27" w:rsidRPr="00FE23F5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D47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Are given in the Course Syllabus</w:t>
            </w:r>
          </w:p>
        </w:tc>
      </w:tr>
      <w:tr w:rsidR="00C42A27" w:rsidRPr="0068773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476A" w:rsidRPr="00CD476A" w:rsidRDefault="00CD476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CD476A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Check if the access to Electronic Library Resources is provided by HSE Library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!</w:t>
            </w:r>
          </w:p>
          <w:p w:rsidR="00C42A27" w:rsidRPr="0068773D" w:rsidRDefault="00C42A27" w:rsidP="00F747D8">
            <w:pPr>
              <w:spacing w:after="0" w:line="240" w:lineRule="auto"/>
              <w:ind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8773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Mandatory </w:t>
            </w:r>
          </w:p>
          <w:p w:rsidR="00F747D8" w:rsidRPr="00F747D8" w:rsidRDefault="00F747D8" w:rsidP="00F747D8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747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4.</w:t>
            </w:r>
            <w:r w:rsidRPr="00F747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  <w:t xml:space="preserve">Hens, Thorsten, Rieger, Marc Olivier. Financial Economics. A Concise Introduction to Classical and Behavioral Finance. Springer. 2016. 386 p. </w:t>
            </w:r>
          </w:p>
          <w:p w:rsidR="0068773D" w:rsidRPr="0068773D" w:rsidRDefault="0068773D" w:rsidP="00F747D8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8773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Investment Analysis and Portfolio Management, Keith C. Brown.</w:t>
            </w:r>
          </w:p>
          <w:p w:rsidR="0068773D" w:rsidRPr="0068773D" w:rsidRDefault="0068773D" w:rsidP="00F747D8">
            <w:pPr>
              <w:spacing w:after="0" w:line="240" w:lineRule="auto"/>
              <w:ind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8773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Optional</w:t>
            </w:r>
          </w:p>
          <w:p w:rsidR="00F747D8" w:rsidRPr="00F747D8" w:rsidRDefault="0068773D" w:rsidP="00F747D8">
            <w:pPr>
              <w:spacing w:after="0" w:line="240" w:lineRule="auto"/>
              <w:ind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8773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</w:r>
            <w:r w:rsidR="00F747D8" w:rsidRPr="00F747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3.</w:t>
            </w:r>
            <w:r w:rsidR="00F747D8" w:rsidRPr="00F747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  <w:t>Hansen M. Master Math: Business and Personal Finance Math. Course Technology PTR, 2011. - 304 page.</w:t>
            </w:r>
          </w:p>
          <w:p w:rsidR="00F747D8" w:rsidRPr="00F747D8" w:rsidRDefault="00F747D8" w:rsidP="00F747D8">
            <w:pPr>
              <w:spacing w:after="0" w:line="240" w:lineRule="auto"/>
              <w:ind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747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4.</w:t>
            </w:r>
            <w:r w:rsidRPr="00F747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  <w:t>Lovelock D., Mendel M., Wright A.L. An Introduction to the Mathematics of Money: Saving and Investing</w:t>
            </w:r>
          </w:p>
          <w:p w:rsidR="00C42A27" w:rsidRDefault="00F747D8" w:rsidP="00F747D8">
            <w:pPr>
              <w:spacing w:after="0" w:line="240" w:lineRule="auto"/>
              <w:ind w:hanging="55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78B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F747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Pr="00F747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</w:r>
            <w:r w:rsidRPr="00F747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  <w:t xml:space="preserve">Hallman G.V., Rosenbloom J.S. Personal Financial Planning. McGraw-Hill – 2003, 500 pages, 7th edition 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MakarovaVA </w:t>
            </w:r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29" w:rsidRDefault="00C97D29" w:rsidP="00F31F02">
      <w:pPr>
        <w:spacing w:after="0" w:line="240" w:lineRule="auto"/>
      </w:pPr>
      <w:r>
        <w:separator/>
      </w:r>
    </w:p>
  </w:endnote>
  <w:endnote w:type="continuationSeparator" w:id="0">
    <w:p w:rsidR="00C97D29" w:rsidRDefault="00C97D29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29" w:rsidRDefault="00C97D29" w:rsidP="00F31F02">
      <w:pPr>
        <w:spacing w:after="0" w:line="240" w:lineRule="auto"/>
      </w:pPr>
      <w:r>
        <w:separator/>
      </w:r>
    </w:p>
  </w:footnote>
  <w:footnote w:type="continuationSeparator" w:id="0">
    <w:p w:rsidR="00C97D29" w:rsidRDefault="00C97D29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2D0B"/>
    <w:multiLevelType w:val="hybridMultilevel"/>
    <w:tmpl w:val="9BB62698"/>
    <w:lvl w:ilvl="0" w:tplc="C3B4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503F"/>
    <w:multiLevelType w:val="hybridMultilevel"/>
    <w:tmpl w:val="7CCA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9613C"/>
    <w:multiLevelType w:val="hybridMultilevel"/>
    <w:tmpl w:val="9D38E090"/>
    <w:lvl w:ilvl="0" w:tplc="C3B48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4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A27"/>
    <w:rsid w:val="00016FD6"/>
    <w:rsid w:val="000665C7"/>
    <w:rsid w:val="00123EFE"/>
    <w:rsid w:val="001269F5"/>
    <w:rsid w:val="00227878"/>
    <w:rsid w:val="002376BB"/>
    <w:rsid w:val="0033665B"/>
    <w:rsid w:val="00350F7A"/>
    <w:rsid w:val="00360ED6"/>
    <w:rsid w:val="004B1D7A"/>
    <w:rsid w:val="004E303F"/>
    <w:rsid w:val="00554AD8"/>
    <w:rsid w:val="0057785A"/>
    <w:rsid w:val="00581152"/>
    <w:rsid w:val="00585DD8"/>
    <w:rsid w:val="005A3597"/>
    <w:rsid w:val="00613DCA"/>
    <w:rsid w:val="00644510"/>
    <w:rsid w:val="0068773D"/>
    <w:rsid w:val="006A0D74"/>
    <w:rsid w:val="007A2171"/>
    <w:rsid w:val="008D20A9"/>
    <w:rsid w:val="008E3E76"/>
    <w:rsid w:val="00925F7A"/>
    <w:rsid w:val="009E3979"/>
    <w:rsid w:val="00A25806"/>
    <w:rsid w:val="00B03C71"/>
    <w:rsid w:val="00B378B3"/>
    <w:rsid w:val="00B5254A"/>
    <w:rsid w:val="00B53389"/>
    <w:rsid w:val="00C42A27"/>
    <w:rsid w:val="00C97D29"/>
    <w:rsid w:val="00CD476A"/>
    <w:rsid w:val="00D4693C"/>
    <w:rsid w:val="00D640A5"/>
    <w:rsid w:val="00D85442"/>
    <w:rsid w:val="00D95D7E"/>
    <w:rsid w:val="00DB57AC"/>
    <w:rsid w:val="00E9042D"/>
    <w:rsid w:val="00F064BA"/>
    <w:rsid w:val="00F31F02"/>
    <w:rsid w:val="00F747D8"/>
    <w:rsid w:val="00F9669D"/>
    <w:rsid w:val="00FE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A870-61E1-4D49-B11D-DCEBEEEC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dcterms:created xsi:type="dcterms:W3CDTF">2018-03-14T20:58:00Z</dcterms:created>
  <dcterms:modified xsi:type="dcterms:W3CDTF">2018-03-14T20:58:00Z</dcterms:modified>
</cp:coreProperties>
</file>