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42" w:rsidRDefault="00B210A1" w:rsidP="00996B42">
      <w:pPr>
        <w:pStyle w:val="31"/>
        <w:spacing w:after="0"/>
        <w:ind w:left="0"/>
        <w:jc w:val="both"/>
        <w:rPr>
          <w:rFonts w:cs="Times New Roman"/>
          <w:b/>
          <w:sz w:val="22"/>
          <w:szCs w:val="22"/>
        </w:rPr>
      </w:pPr>
      <w:r w:rsidRPr="00B210A1">
        <w:rPr>
          <w:rFonts w:cs="Times New Roman"/>
          <w:b/>
          <w:sz w:val="22"/>
          <w:szCs w:val="22"/>
        </w:rPr>
        <w:t>АННОТАЦИЯ ДИСЦИПЛИНЫ МАГЛОЛЕГО «ДЕЛОВЫЕ И МЕЖКУЛЬТУРНЫЕ КОММУНИКАЦИИ»</w:t>
      </w:r>
    </w:p>
    <w:p w:rsidR="00B210A1" w:rsidRPr="00B210A1" w:rsidRDefault="00B210A1" w:rsidP="00996B42">
      <w:pPr>
        <w:pStyle w:val="31"/>
        <w:spacing w:after="0"/>
        <w:ind w:left="0"/>
        <w:jc w:val="both"/>
        <w:rPr>
          <w:rFonts w:cs="Times New Roman"/>
          <w:b/>
          <w:sz w:val="22"/>
          <w:szCs w:val="22"/>
        </w:rPr>
      </w:pPr>
    </w:p>
    <w:p w:rsidR="00996B42" w:rsidRDefault="00996B42" w:rsidP="00996B42">
      <w:pPr>
        <w:pStyle w:val="31"/>
        <w:spacing w:after="0"/>
        <w:ind w:left="0"/>
        <w:jc w:val="both"/>
        <w:rPr>
          <w:sz w:val="24"/>
          <w:szCs w:val="24"/>
        </w:rPr>
      </w:pPr>
      <w:r>
        <w:rPr>
          <w:rFonts w:cs="Times New Roman"/>
          <w:sz w:val="22"/>
          <w:szCs w:val="22"/>
        </w:rPr>
        <w:t xml:space="preserve">Данная дисциплина определяет и раскрывает </w:t>
      </w:r>
      <w:r w:rsidRPr="00635E13">
        <w:rPr>
          <w:szCs w:val="24"/>
        </w:rPr>
        <w:t xml:space="preserve"> </w:t>
      </w:r>
      <w:r w:rsidRPr="0052280F">
        <w:rPr>
          <w:sz w:val="24"/>
          <w:szCs w:val="24"/>
        </w:rPr>
        <w:t>информацию о различных аспектах деловой и межкультурной коммуникации</w:t>
      </w:r>
      <w:r w:rsidRPr="0052280F">
        <w:rPr>
          <w:i/>
          <w:sz w:val="24"/>
          <w:szCs w:val="24"/>
        </w:rPr>
        <w:t xml:space="preserve">. </w:t>
      </w:r>
    </w:p>
    <w:p w:rsidR="00996B42" w:rsidRDefault="00996B42" w:rsidP="00996B42">
      <w:pPr>
        <w:pStyle w:val="31"/>
        <w:spacing w:after="0"/>
        <w:ind w:left="0"/>
        <w:jc w:val="both"/>
        <w:rPr>
          <w:sz w:val="24"/>
          <w:szCs w:val="24"/>
        </w:rPr>
      </w:pPr>
    </w:p>
    <w:p w:rsidR="00996B42" w:rsidRPr="00A75130" w:rsidRDefault="00996B42" w:rsidP="00996B42">
      <w:pPr>
        <w:ind w:firstLine="0"/>
        <w:jc w:val="both"/>
        <w:rPr>
          <w:szCs w:val="24"/>
        </w:rPr>
      </w:pPr>
      <w:r>
        <w:rPr>
          <w:i/>
          <w:szCs w:val="24"/>
        </w:rPr>
        <w:t xml:space="preserve">Часть курса </w:t>
      </w:r>
      <w:r w:rsidRPr="006802D1">
        <w:rPr>
          <w:szCs w:val="24"/>
        </w:rPr>
        <w:t xml:space="preserve">посвящена актуальной в настоящее время тенденции повышения личной эффективности субъекта. Личная эффективность понимается как комплексное </w:t>
      </w:r>
      <w:bookmarkStart w:id="0" w:name="_GoBack"/>
      <w:bookmarkEnd w:id="0"/>
      <w:r w:rsidRPr="006802D1">
        <w:rPr>
          <w:szCs w:val="24"/>
        </w:rPr>
        <w:t xml:space="preserve">образование, складывающееся из эффективного мышления, позитивного мировосприятия и продуктивного планирования времени и деятельности. В данном </w:t>
      </w:r>
      <w:proofErr w:type="gramStart"/>
      <w:r w:rsidRPr="006802D1">
        <w:rPr>
          <w:szCs w:val="24"/>
        </w:rPr>
        <w:t>контексте</w:t>
      </w:r>
      <w:proofErr w:type="gramEnd"/>
      <w:r w:rsidRPr="006802D1">
        <w:rPr>
          <w:szCs w:val="24"/>
        </w:rPr>
        <w:t xml:space="preserve"> рассматриваются «правополушарный» и «левополушарный» подходы к общению и деятельности, различные методы развития мышления, повышения его эффективности, такие как рефрейминг, интеллект-карты, метод Э.</w:t>
      </w:r>
      <w:r>
        <w:rPr>
          <w:szCs w:val="24"/>
        </w:rPr>
        <w:t xml:space="preserve"> </w:t>
      </w:r>
      <w:r w:rsidRPr="006802D1">
        <w:rPr>
          <w:szCs w:val="24"/>
        </w:rPr>
        <w:t xml:space="preserve">де </w:t>
      </w:r>
      <w:proofErr w:type="spellStart"/>
      <w:r w:rsidRPr="006802D1">
        <w:rPr>
          <w:szCs w:val="24"/>
        </w:rPr>
        <w:t>Боно</w:t>
      </w:r>
      <w:proofErr w:type="spellEnd"/>
      <w:r w:rsidRPr="006802D1">
        <w:rPr>
          <w:szCs w:val="24"/>
        </w:rPr>
        <w:t>, мозговой штурм и т.д. Также в данной главе содержится материал, касающийся моделей представления знаний, таких как семантические сети, ментальные карты когнитивные карты, диаграммы обратных связей, и других схемных методов, используемых для фиксации индивидуальных и групповых знаний. Далее рассматривается использование информационных технологи</w:t>
      </w:r>
      <w:r>
        <w:rPr>
          <w:szCs w:val="24"/>
        </w:rPr>
        <w:t>й</w:t>
      </w:r>
      <w:r w:rsidRPr="006802D1">
        <w:rPr>
          <w:szCs w:val="24"/>
        </w:rPr>
        <w:t xml:space="preserve"> и методов структуризации знаний, особенности работы с экспертными знаниями для анализа ситуации. Отчасти затрагиваются когнитивные искажения и когнитивные ошибки при принятии решений в сложных ситуациях (на основе работы психолога Д. </w:t>
      </w:r>
      <w:proofErr w:type="spellStart"/>
      <w:r w:rsidRPr="006802D1">
        <w:rPr>
          <w:szCs w:val="24"/>
        </w:rPr>
        <w:t>Дернера</w:t>
      </w:r>
      <w:proofErr w:type="spellEnd"/>
      <w:r w:rsidRPr="006802D1">
        <w:rPr>
          <w:szCs w:val="24"/>
        </w:rPr>
        <w:t>). Помимо всего прочего, рассматривается теория эмоционального интеллекта и ее значение для эффективного роста и развития личности. Также в</w:t>
      </w:r>
      <w:r>
        <w:rPr>
          <w:szCs w:val="24"/>
        </w:rPr>
        <w:t>о второй главе</w:t>
      </w:r>
      <w:r w:rsidRPr="006802D1">
        <w:rPr>
          <w:szCs w:val="24"/>
        </w:rPr>
        <w:t xml:space="preserve"> приведены наиболее известные методики эффективного планирования времени.</w:t>
      </w:r>
    </w:p>
    <w:p w:rsidR="00996B42" w:rsidRPr="00A75130" w:rsidRDefault="00996B42" w:rsidP="00996B42">
      <w:pPr>
        <w:jc w:val="both"/>
        <w:rPr>
          <w:szCs w:val="24"/>
        </w:rPr>
      </w:pPr>
      <w:r>
        <w:rPr>
          <w:i/>
          <w:szCs w:val="24"/>
        </w:rPr>
        <w:t xml:space="preserve">Также </w:t>
      </w:r>
      <w:r w:rsidRPr="006802D1">
        <w:rPr>
          <w:szCs w:val="24"/>
        </w:rPr>
        <w:t xml:space="preserve"> рассматривается совокупность параметров, позволяющих достичь уровня коммуникативной компетентности. Здесь рассказывается о значении невербальных параметров в коммуникации, </w:t>
      </w:r>
      <w:r w:rsidR="00B210A1">
        <w:rPr>
          <w:szCs w:val="24"/>
        </w:rPr>
        <w:t xml:space="preserve">гендерных тенденциях в общении. </w:t>
      </w:r>
      <w:r>
        <w:rPr>
          <w:szCs w:val="24"/>
        </w:rPr>
        <w:t xml:space="preserve">Часть курса </w:t>
      </w:r>
      <w:r w:rsidRPr="006802D1">
        <w:rPr>
          <w:szCs w:val="24"/>
        </w:rPr>
        <w:t xml:space="preserve"> посвящена проблематике манипуляций в деловом общении и способам противостояния им. </w:t>
      </w:r>
    </w:p>
    <w:p w:rsidR="00996B42" w:rsidRPr="00A75130" w:rsidRDefault="00996B42" w:rsidP="00996B42">
      <w:pPr>
        <w:jc w:val="both"/>
        <w:rPr>
          <w:szCs w:val="24"/>
        </w:rPr>
      </w:pPr>
      <w:r>
        <w:rPr>
          <w:i/>
          <w:szCs w:val="24"/>
        </w:rPr>
        <w:t>Особое место уделяется</w:t>
      </w:r>
      <w:r w:rsidRPr="006802D1">
        <w:rPr>
          <w:szCs w:val="24"/>
        </w:rPr>
        <w:t xml:space="preserve"> деловой коммуникации в контексте корпоративной культуры, в частности</w:t>
      </w:r>
      <w:r>
        <w:rPr>
          <w:szCs w:val="24"/>
        </w:rPr>
        <w:t>,</w:t>
      </w:r>
      <w:r w:rsidRPr="006802D1">
        <w:rPr>
          <w:szCs w:val="24"/>
        </w:rPr>
        <w:t xml:space="preserve"> статусу деловой этики и деловой риторики. Кроме традиционных тем, касающихся видов и форм этикета, принципов составления делового гардероба, основных постулатов деловой риторики: особенностей проведения эффективных презентаций, переговоров, собеседований, совеща</w:t>
      </w:r>
      <w:r>
        <w:rPr>
          <w:szCs w:val="24"/>
        </w:rPr>
        <w:t>ний, деловой переписки и др.</w:t>
      </w:r>
      <w:r w:rsidRPr="006802D1">
        <w:rPr>
          <w:szCs w:val="24"/>
        </w:rPr>
        <w:t xml:space="preserve"> </w:t>
      </w:r>
    </w:p>
    <w:p w:rsidR="00996B42" w:rsidRPr="00A75130" w:rsidRDefault="00996B42" w:rsidP="00996B42">
      <w:pPr>
        <w:jc w:val="both"/>
        <w:rPr>
          <w:szCs w:val="24"/>
        </w:rPr>
      </w:pPr>
      <w:r>
        <w:rPr>
          <w:i/>
          <w:szCs w:val="24"/>
        </w:rPr>
        <w:t xml:space="preserve">Наибольшее внимание уделяется </w:t>
      </w:r>
      <w:r>
        <w:rPr>
          <w:szCs w:val="24"/>
        </w:rPr>
        <w:t xml:space="preserve"> аспектам, касающим</w:t>
      </w:r>
      <w:r w:rsidRPr="006802D1">
        <w:rPr>
          <w:szCs w:val="24"/>
        </w:rPr>
        <w:t>ся межкультурной деловой коммуникации. Рассматриваются классификации культур, когнитивные константы, дискурсивные и поведенческие модели, модели работы с информацией</w:t>
      </w:r>
      <w:r>
        <w:rPr>
          <w:szCs w:val="24"/>
        </w:rPr>
        <w:t>,</w:t>
      </w:r>
      <w:r w:rsidRPr="006802D1">
        <w:rPr>
          <w:szCs w:val="24"/>
        </w:rPr>
        <w:t xml:space="preserve"> принятия решений и командной работ</w:t>
      </w:r>
      <w:r>
        <w:rPr>
          <w:szCs w:val="24"/>
        </w:rPr>
        <w:t>ы</w:t>
      </w:r>
      <w:r w:rsidRPr="006802D1">
        <w:rPr>
          <w:szCs w:val="24"/>
        </w:rPr>
        <w:t xml:space="preserve"> в разных культурных группах. Также присутствует информация о специфике национальных корпоративных культур, национальном гастрономическом этикете</w:t>
      </w:r>
      <w:r>
        <w:rPr>
          <w:szCs w:val="24"/>
        </w:rPr>
        <w:t>,</w:t>
      </w:r>
      <w:r w:rsidRPr="006802D1">
        <w:rPr>
          <w:szCs w:val="24"/>
        </w:rPr>
        <w:t xml:space="preserve"> этикете дарения и т.д., что является очень важным в процессе выстраивания эффективных деловых коммуникаций в международном контексте.</w:t>
      </w:r>
    </w:p>
    <w:p w:rsidR="00996B42" w:rsidRPr="00AE42E8" w:rsidRDefault="00B210A1" w:rsidP="00996B42">
      <w:pPr>
        <w:pStyle w:val="31"/>
        <w:spacing w:after="0"/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</w:rPr>
        <w:t>Рассматривается</w:t>
      </w:r>
      <w:r w:rsidR="00996B42" w:rsidRPr="00AE42E8">
        <w:rPr>
          <w:sz w:val="24"/>
          <w:szCs w:val="24"/>
        </w:rPr>
        <w:t xml:space="preserve"> тран</w:t>
      </w:r>
      <w:r>
        <w:rPr>
          <w:sz w:val="24"/>
          <w:szCs w:val="24"/>
        </w:rPr>
        <w:t>сформация</w:t>
      </w:r>
      <w:r w:rsidR="00996B42" w:rsidRPr="00AE42E8">
        <w:rPr>
          <w:sz w:val="24"/>
          <w:szCs w:val="24"/>
        </w:rPr>
        <w:t xml:space="preserve"> коммуникативных моделей в информационном обществе. Сначала авторы кратко описывают основные постулаты информационного общества, продекларированные известными учеными Э. </w:t>
      </w:r>
      <w:proofErr w:type="spellStart"/>
      <w:r w:rsidR="00996B42" w:rsidRPr="00AE42E8">
        <w:rPr>
          <w:sz w:val="24"/>
          <w:szCs w:val="24"/>
        </w:rPr>
        <w:t>Тоффлером</w:t>
      </w:r>
      <w:proofErr w:type="spellEnd"/>
      <w:r w:rsidR="00996B42" w:rsidRPr="00AE42E8">
        <w:rPr>
          <w:sz w:val="24"/>
          <w:szCs w:val="24"/>
        </w:rPr>
        <w:t>, Д. </w:t>
      </w:r>
      <w:proofErr w:type="spellStart"/>
      <w:r w:rsidR="00996B42" w:rsidRPr="00AE42E8">
        <w:rPr>
          <w:sz w:val="24"/>
          <w:szCs w:val="24"/>
        </w:rPr>
        <w:t>Бэллом</w:t>
      </w:r>
      <w:proofErr w:type="spellEnd"/>
      <w:r w:rsidR="00996B42" w:rsidRPr="00AE42E8">
        <w:rPr>
          <w:sz w:val="24"/>
          <w:szCs w:val="24"/>
        </w:rPr>
        <w:t xml:space="preserve">, М. </w:t>
      </w:r>
      <w:proofErr w:type="spellStart"/>
      <w:r w:rsidR="00996B42" w:rsidRPr="00AE42E8">
        <w:rPr>
          <w:sz w:val="24"/>
          <w:szCs w:val="24"/>
        </w:rPr>
        <w:t>Кастельсом</w:t>
      </w:r>
      <w:proofErr w:type="spellEnd"/>
      <w:r w:rsidR="00996B42" w:rsidRPr="00AE42E8">
        <w:rPr>
          <w:sz w:val="24"/>
          <w:szCs w:val="24"/>
        </w:rPr>
        <w:t>. Отмечается, что в информационном обществе, помимо возрастания роли технологий и интеллектуального знания, экспоненциального роста информации, во многом существенно меняется общий характер коммуникации. Сеть Интернет способствует появлению новых дискурсов, новых жанров и форм коммуникации и репрезентации субъектов, таких как блоги, социальные сети, мобильные приложения и т.д.</w:t>
      </w:r>
    </w:p>
    <w:p w:rsidR="00B5048C" w:rsidRDefault="00B5048C"/>
    <w:sectPr w:rsidR="00B5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42"/>
    <w:rsid w:val="00875332"/>
    <w:rsid w:val="00996B42"/>
    <w:rsid w:val="00B210A1"/>
    <w:rsid w:val="00B5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42"/>
    <w:pPr>
      <w:spacing w:after="0" w:line="240" w:lineRule="auto"/>
      <w:ind w:firstLine="709"/>
    </w:pPr>
    <w:rPr>
      <w:rFonts w:ascii="Times New Roman" w:eastAsia="Calibri" w:hAnsi="Times New Roman" w:cs="Calibri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996B42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42"/>
    <w:pPr>
      <w:spacing w:after="0" w:line="240" w:lineRule="auto"/>
      <w:ind w:firstLine="709"/>
    </w:pPr>
    <w:rPr>
      <w:rFonts w:ascii="Times New Roman" w:eastAsia="Calibri" w:hAnsi="Times New Roman" w:cs="Calibri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996B42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Тихонова Светлана Анатольевна</cp:lastModifiedBy>
  <cp:revision>2</cp:revision>
  <dcterms:created xsi:type="dcterms:W3CDTF">2018-02-06T15:28:00Z</dcterms:created>
  <dcterms:modified xsi:type="dcterms:W3CDTF">2018-02-06T15:28:00Z</dcterms:modified>
</cp:coreProperties>
</file>