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FD" w:rsidRDefault="00FF2614">
      <w:bookmarkStart w:id="0" w:name="_GoBack"/>
      <w:bookmarkEnd w:id="0"/>
      <w:r>
        <w:t>V.Chumakova, O.Dovbysh</w:t>
      </w:r>
    </w:p>
    <w:p w:rsidR="004D3EFD" w:rsidRDefault="00FF2614">
      <w:pPr>
        <w:rPr>
          <w:b/>
          <w:sz w:val="24"/>
          <w:szCs w:val="24"/>
        </w:rPr>
      </w:pPr>
      <w:r>
        <w:rPr>
          <w:b/>
          <w:sz w:val="24"/>
          <w:szCs w:val="24"/>
        </w:rPr>
        <w:t>Russian media: markets, policy and users</w:t>
      </w:r>
    </w:p>
    <w:p w:rsidR="004D3EFD" w:rsidRDefault="004D3EFD"/>
    <w:p w:rsidR="004D3EFD" w:rsidRDefault="00FF2614">
      <w:r>
        <w:rPr>
          <w:b/>
          <w:sz w:val="20"/>
          <w:szCs w:val="20"/>
        </w:rPr>
        <w:t>Brief Description</w:t>
      </w:r>
    </w:p>
    <w:p w:rsidR="004D3EFD" w:rsidRDefault="00FF2614">
      <w:pPr>
        <w:rPr>
          <w:sz w:val="20"/>
          <w:szCs w:val="20"/>
        </w:rPr>
      </w:pPr>
      <w:r>
        <w:rPr>
          <w:sz w:val="20"/>
          <w:szCs w:val="20"/>
        </w:rPr>
        <w:t>The course aims to introduce students to Russian media as complex system constituted by interrelated elements: media outlets as market actors, users as audience and end consumers, and policy as different institutions and norms and political culture. Moving</w:t>
      </w:r>
      <w:r>
        <w:rPr>
          <w:sz w:val="20"/>
          <w:szCs w:val="20"/>
        </w:rPr>
        <w:t xml:space="preserve"> from one to the other element, we’ll make an attempt to understand social, cultural and political peculiarities of Russian media as well as try to elaborate general characteristics and principles shaping Russian media system. </w:t>
      </w:r>
    </w:p>
    <w:p w:rsidR="004D3EFD" w:rsidRDefault="004D3EFD">
      <w:pPr>
        <w:rPr>
          <w:sz w:val="20"/>
          <w:szCs w:val="20"/>
        </w:rPr>
      </w:pPr>
    </w:p>
    <w:p w:rsidR="004D3EFD" w:rsidRDefault="00FF2614">
      <w:bookmarkStart w:id="1" w:name="_gjdgxs" w:colFirst="0" w:colLast="0"/>
      <w:bookmarkEnd w:id="1"/>
      <w:r>
        <w:rPr>
          <w:sz w:val="20"/>
          <w:szCs w:val="20"/>
        </w:rPr>
        <w:t>Course is based on multidis</w:t>
      </w:r>
      <w:r>
        <w:rPr>
          <w:sz w:val="20"/>
          <w:szCs w:val="20"/>
        </w:rPr>
        <w:t xml:space="preserve">ciplinary approach </w:t>
      </w:r>
      <w:r>
        <w:rPr>
          <w:sz w:val="20"/>
          <w:szCs w:val="20"/>
        </w:rPr>
        <w:t>of media studies and includes elements of sociology, cultural studies, political studies and other disciplines.</w:t>
      </w:r>
    </w:p>
    <w:p w:rsidR="004D3EFD" w:rsidRDefault="004D3EFD"/>
    <w:p w:rsidR="004D3EFD" w:rsidRDefault="00FF2614">
      <w:r>
        <w:rPr>
          <w:b/>
          <w:sz w:val="20"/>
          <w:szCs w:val="20"/>
        </w:rPr>
        <w:t>Main goals</w:t>
      </w:r>
    </w:p>
    <w:p w:rsidR="004D3EFD" w:rsidRDefault="00FF2614">
      <w:pPr>
        <w:numPr>
          <w:ilvl w:val="0"/>
          <w:numId w:val="1"/>
        </w:numPr>
        <w:ind w:hanging="360"/>
        <w:rPr>
          <w:sz w:val="20"/>
          <w:szCs w:val="20"/>
        </w:rPr>
      </w:pPr>
      <w:r>
        <w:rPr>
          <w:sz w:val="20"/>
          <w:szCs w:val="20"/>
        </w:rPr>
        <w:t>Introduce students to contemporary media system of Russia from sociological, political and cultural perspectives</w:t>
      </w:r>
    </w:p>
    <w:p w:rsidR="004D3EFD" w:rsidRDefault="00FF2614">
      <w:pPr>
        <w:numPr>
          <w:ilvl w:val="0"/>
          <w:numId w:val="1"/>
        </w:numPr>
        <w:ind w:hanging="360"/>
        <w:rPr>
          <w:sz w:val="20"/>
          <w:szCs w:val="20"/>
        </w:rPr>
      </w:pPr>
      <w:r>
        <w:rPr>
          <w:sz w:val="20"/>
          <w:szCs w:val="20"/>
        </w:rPr>
        <w:t>Point out main actors of the media market and investigate their interrelations</w:t>
      </w:r>
    </w:p>
    <w:p w:rsidR="004D3EFD" w:rsidRDefault="00FF2614">
      <w:pPr>
        <w:numPr>
          <w:ilvl w:val="0"/>
          <w:numId w:val="1"/>
        </w:numPr>
        <w:ind w:hanging="360"/>
        <w:rPr>
          <w:sz w:val="20"/>
          <w:szCs w:val="20"/>
        </w:rPr>
      </w:pPr>
      <w:r>
        <w:rPr>
          <w:sz w:val="20"/>
          <w:szCs w:val="20"/>
        </w:rPr>
        <w:t>Study historical backgrounds of political and media culture as prerequisites for current development</w:t>
      </w:r>
    </w:p>
    <w:p w:rsidR="004D3EFD" w:rsidRDefault="00FF2614">
      <w:pPr>
        <w:numPr>
          <w:ilvl w:val="0"/>
          <w:numId w:val="1"/>
        </w:numPr>
        <w:ind w:hanging="360"/>
        <w:rPr>
          <w:sz w:val="20"/>
          <w:szCs w:val="20"/>
        </w:rPr>
      </w:pPr>
      <w:r>
        <w:rPr>
          <w:sz w:val="20"/>
          <w:szCs w:val="20"/>
        </w:rPr>
        <w:t xml:space="preserve">Analyze </w:t>
      </w:r>
      <w:r>
        <w:rPr>
          <w:sz w:val="20"/>
          <w:szCs w:val="20"/>
        </w:rPr>
        <w:t>users within the system of Russian media system and pattern and pecu</w:t>
      </w:r>
      <w:r>
        <w:rPr>
          <w:sz w:val="20"/>
          <w:szCs w:val="20"/>
        </w:rPr>
        <w:t>liarities of their media consumption</w:t>
      </w:r>
    </w:p>
    <w:p w:rsidR="004D3EFD" w:rsidRDefault="004D3EFD"/>
    <w:p w:rsidR="004D3EFD" w:rsidRDefault="00FF2614">
      <w:r>
        <w:rPr>
          <w:b/>
          <w:sz w:val="20"/>
          <w:szCs w:val="20"/>
        </w:rPr>
        <w:t>Target audience</w:t>
      </w:r>
      <w:r>
        <w:rPr>
          <w:sz w:val="20"/>
          <w:szCs w:val="20"/>
        </w:rPr>
        <w:t xml:space="preserve"> </w:t>
      </w:r>
    </w:p>
    <w:p w:rsidR="004D3EFD" w:rsidRDefault="00FF2614">
      <w:r>
        <w:rPr>
          <w:sz w:val="20"/>
          <w:szCs w:val="20"/>
        </w:rPr>
        <w:t xml:space="preserve">The course can be useful for HSE students with different backgrounds </w:t>
      </w:r>
      <w:r>
        <w:rPr>
          <w:sz w:val="20"/>
          <w:szCs w:val="20"/>
        </w:rPr>
        <w:t xml:space="preserve">(with majors in sociology, media studies, journalism, management, culturology, political studies etc.) </w:t>
      </w:r>
      <w:r>
        <w:rPr>
          <w:sz w:val="20"/>
          <w:szCs w:val="20"/>
        </w:rPr>
        <w:t xml:space="preserve">as well as for international </w:t>
      </w:r>
      <w:r>
        <w:rPr>
          <w:sz w:val="20"/>
          <w:szCs w:val="20"/>
        </w:rPr>
        <w:t>students who are interested in Russian media and society.</w:t>
      </w:r>
    </w:p>
    <w:p w:rsidR="004D3EFD" w:rsidRDefault="004D3EFD"/>
    <w:p w:rsidR="004D3EFD" w:rsidRDefault="00FF2614">
      <w:r>
        <w:rPr>
          <w:b/>
          <w:sz w:val="20"/>
          <w:szCs w:val="20"/>
        </w:rPr>
        <w:t>Course structure</w:t>
      </w:r>
    </w:p>
    <w:p w:rsidR="004D3EFD" w:rsidRDefault="004D3EFD"/>
    <w:tbl>
      <w:tblPr>
        <w:tblStyle w:val="a5"/>
        <w:tblW w:w="9025" w:type="dxa"/>
        <w:tblInd w:w="-106" w:type="dxa"/>
        <w:tblLayout w:type="fixed"/>
        <w:tblLook w:val="0000" w:firstRow="0" w:lastRow="0" w:firstColumn="0" w:lastColumn="0" w:noHBand="0" w:noVBand="0"/>
      </w:tblPr>
      <w:tblGrid>
        <w:gridCol w:w="441"/>
        <w:gridCol w:w="3081"/>
        <w:gridCol w:w="1526"/>
        <w:gridCol w:w="1158"/>
        <w:gridCol w:w="1284"/>
        <w:gridCol w:w="1535"/>
      </w:tblGrid>
      <w:tr w:rsidR="004D3EFD">
        <w:tc>
          <w:tcPr>
            <w:tcW w:w="441"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40" w:line="259" w:lineRule="auto"/>
              <w:ind w:left="40"/>
              <w:jc w:val="center"/>
            </w:pPr>
            <w:r>
              <w:rPr>
                <w:sz w:val="20"/>
                <w:szCs w:val="20"/>
              </w:rPr>
              <w:t>№</w:t>
            </w:r>
          </w:p>
        </w:tc>
        <w:tc>
          <w:tcPr>
            <w:tcW w:w="3081" w:type="dxa"/>
            <w:tcBorders>
              <w:top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40" w:line="259" w:lineRule="auto"/>
              <w:ind w:left="40"/>
              <w:jc w:val="center"/>
            </w:pPr>
            <w:r>
              <w:rPr>
                <w:sz w:val="20"/>
                <w:szCs w:val="20"/>
              </w:rPr>
              <w:t>Topic</w:t>
            </w:r>
          </w:p>
        </w:tc>
        <w:tc>
          <w:tcPr>
            <w:tcW w:w="1526" w:type="dxa"/>
            <w:tcBorders>
              <w:top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40" w:line="259" w:lineRule="auto"/>
              <w:ind w:left="40"/>
              <w:jc w:val="center"/>
            </w:pPr>
            <w:r>
              <w:rPr>
                <w:sz w:val="20"/>
                <w:szCs w:val="20"/>
              </w:rPr>
              <w:t>Total hours</w:t>
            </w:r>
          </w:p>
        </w:tc>
        <w:tc>
          <w:tcPr>
            <w:tcW w:w="2442" w:type="dxa"/>
            <w:gridSpan w:val="2"/>
            <w:tcBorders>
              <w:top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40" w:line="259" w:lineRule="auto"/>
              <w:ind w:left="40"/>
              <w:jc w:val="center"/>
            </w:pPr>
            <w:r>
              <w:rPr>
                <w:sz w:val="20"/>
                <w:szCs w:val="20"/>
              </w:rPr>
              <w:t>Audience hours</w:t>
            </w:r>
          </w:p>
        </w:tc>
        <w:tc>
          <w:tcPr>
            <w:tcW w:w="1535" w:type="dxa"/>
            <w:tcBorders>
              <w:top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40" w:line="259" w:lineRule="auto"/>
              <w:ind w:left="40"/>
              <w:jc w:val="center"/>
            </w:pPr>
            <w:r>
              <w:rPr>
                <w:sz w:val="20"/>
                <w:szCs w:val="20"/>
              </w:rPr>
              <w:t>Individual workload hours</w:t>
            </w:r>
          </w:p>
        </w:tc>
      </w:tr>
      <w:tr w:rsidR="004D3EFD">
        <w:tc>
          <w:tcPr>
            <w:tcW w:w="441" w:type="dxa"/>
            <w:tcBorders>
              <w:left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40"/>
              <w:ind w:left="40"/>
              <w:jc w:val="center"/>
            </w:pPr>
            <w:r>
              <w:rPr>
                <w:sz w:val="20"/>
                <w:szCs w:val="20"/>
              </w:rPr>
              <w:t xml:space="preserve"> </w:t>
            </w:r>
          </w:p>
          <w:p w:rsidR="004D3EFD" w:rsidRDefault="00FF2614">
            <w:pPr>
              <w:spacing w:before="40"/>
              <w:ind w:left="40"/>
              <w:jc w:val="center"/>
            </w:pPr>
            <w:r>
              <w:rPr>
                <w:sz w:val="20"/>
                <w:szCs w:val="20"/>
              </w:rPr>
              <w:t xml:space="preserve"> </w:t>
            </w:r>
          </w:p>
        </w:tc>
        <w:tc>
          <w:tcPr>
            <w:tcW w:w="3081"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40"/>
              <w:ind w:left="40"/>
              <w:jc w:val="center"/>
            </w:pPr>
            <w:r>
              <w:rPr>
                <w:sz w:val="20"/>
                <w:szCs w:val="20"/>
              </w:rPr>
              <w:t xml:space="preserve"> </w:t>
            </w:r>
          </w:p>
          <w:p w:rsidR="004D3EFD" w:rsidRDefault="00FF2614">
            <w:pPr>
              <w:spacing w:before="40"/>
              <w:ind w:left="40"/>
              <w:jc w:val="center"/>
            </w:pPr>
            <w:r>
              <w:rPr>
                <w:sz w:val="20"/>
                <w:szCs w:val="20"/>
              </w:rPr>
              <w:t xml:space="preserve"> </w:t>
            </w:r>
          </w:p>
        </w:tc>
        <w:tc>
          <w:tcPr>
            <w:tcW w:w="1526"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40"/>
              <w:ind w:left="40"/>
              <w:jc w:val="center"/>
            </w:pPr>
            <w:r>
              <w:rPr>
                <w:sz w:val="20"/>
                <w:szCs w:val="20"/>
              </w:rPr>
              <w:t xml:space="preserve"> </w:t>
            </w:r>
          </w:p>
          <w:p w:rsidR="004D3EFD" w:rsidRDefault="00FF2614">
            <w:pPr>
              <w:spacing w:before="40"/>
              <w:ind w:left="40"/>
              <w:jc w:val="center"/>
            </w:pPr>
            <w:r>
              <w:rPr>
                <w:sz w:val="20"/>
                <w:szCs w:val="20"/>
              </w:rPr>
              <w:t xml:space="preserve"> </w:t>
            </w:r>
          </w:p>
        </w:tc>
        <w:tc>
          <w:tcPr>
            <w:tcW w:w="1158"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40" w:line="259" w:lineRule="auto"/>
              <w:ind w:left="40"/>
              <w:jc w:val="center"/>
            </w:pPr>
            <w:r>
              <w:rPr>
                <w:sz w:val="20"/>
                <w:szCs w:val="20"/>
              </w:rPr>
              <w:t>Lectures</w:t>
            </w:r>
          </w:p>
        </w:tc>
        <w:tc>
          <w:tcPr>
            <w:tcW w:w="1284"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40" w:line="259" w:lineRule="auto"/>
              <w:ind w:left="40"/>
              <w:jc w:val="center"/>
            </w:pPr>
            <w:r>
              <w:rPr>
                <w:sz w:val="20"/>
                <w:szCs w:val="20"/>
              </w:rPr>
              <w:t>Seminars</w:t>
            </w:r>
          </w:p>
        </w:tc>
        <w:tc>
          <w:tcPr>
            <w:tcW w:w="1535"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40"/>
              <w:ind w:left="40"/>
              <w:jc w:val="center"/>
            </w:pPr>
            <w:r>
              <w:rPr>
                <w:sz w:val="20"/>
                <w:szCs w:val="20"/>
              </w:rPr>
              <w:t xml:space="preserve"> </w:t>
            </w:r>
          </w:p>
          <w:p w:rsidR="004D3EFD" w:rsidRDefault="00FF2614">
            <w:pPr>
              <w:spacing w:before="40"/>
              <w:ind w:left="40"/>
              <w:jc w:val="center"/>
            </w:pPr>
            <w:r>
              <w:rPr>
                <w:sz w:val="20"/>
                <w:szCs w:val="20"/>
              </w:rPr>
              <w:t xml:space="preserve"> </w:t>
            </w:r>
          </w:p>
        </w:tc>
      </w:tr>
      <w:tr w:rsidR="004D3EFD">
        <w:tc>
          <w:tcPr>
            <w:tcW w:w="441" w:type="dxa"/>
            <w:tcBorders>
              <w:left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lastRenderedPageBreak/>
              <w:t>1.</w:t>
            </w:r>
          </w:p>
        </w:tc>
        <w:tc>
          <w:tcPr>
            <w:tcW w:w="3081"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b/>
                <w:sz w:val="20"/>
                <w:szCs w:val="20"/>
              </w:rPr>
              <w:t>Intro.</w:t>
            </w:r>
            <w:r>
              <w:rPr>
                <w:sz w:val="20"/>
                <w:szCs w:val="20"/>
              </w:rPr>
              <w:t xml:space="preserve"> Theory and methodology of media studies. </w:t>
            </w:r>
          </w:p>
        </w:tc>
        <w:tc>
          <w:tcPr>
            <w:tcW w:w="1526"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c>
          <w:tcPr>
            <w:tcW w:w="1158"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6</w:t>
            </w:r>
          </w:p>
        </w:tc>
        <w:tc>
          <w:tcPr>
            <w:tcW w:w="1284"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2</w:t>
            </w:r>
          </w:p>
        </w:tc>
        <w:tc>
          <w:tcPr>
            <w:tcW w:w="1535"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r>
      <w:tr w:rsidR="004D3EFD">
        <w:tc>
          <w:tcPr>
            <w:tcW w:w="441" w:type="dxa"/>
            <w:tcBorders>
              <w:left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2.</w:t>
            </w:r>
          </w:p>
        </w:tc>
        <w:tc>
          <w:tcPr>
            <w:tcW w:w="3081"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b/>
                <w:sz w:val="20"/>
                <w:szCs w:val="20"/>
              </w:rPr>
              <w:t>Wh</w:t>
            </w:r>
            <w:r>
              <w:rPr>
                <w:b/>
                <w:sz w:val="20"/>
                <w:szCs w:val="20"/>
              </w:rPr>
              <w:t>at marke</w:t>
            </w:r>
            <w:r>
              <w:rPr>
                <w:b/>
                <w:sz w:val="20"/>
                <w:szCs w:val="20"/>
              </w:rPr>
              <w:t>t?</w:t>
            </w:r>
            <w:r>
              <w:rPr>
                <w:sz w:val="20"/>
                <w:szCs w:val="20"/>
              </w:rPr>
              <w:t xml:space="preserve"> Media in Russia  as market: approaches to analysis.</w:t>
            </w:r>
          </w:p>
        </w:tc>
        <w:tc>
          <w:tcPr>
            <w:tcW w:w="1526"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c>
          <w:tcPr>
            <w:tcW w:w="1158"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6</w:t>
            </w:r>
          </w:p>
        </w:tc>
        <w:tc>
          <w:tcPr>
            <w:tcW w:w="1284"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4</w:t>
            </w:r>
          </w:p>
        </w:tc>
        <w:tc>
          <w:tcPr>
            <w:tcW w:w="1535"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r>
      <w:tr w:rsidR="004D3EFD">
        <w:tc>
          <w:tcPr>
            <w:tcW w:w="441" w:type="dxa"/>
            <w:tcBorders>
              <w:left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3.</w:t>
            </w:r>
          </w:p>
        </w:tc>
        <w:tc>
          <w:tcPr>
            <w:tcW w:w="3081"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b/>
                <w:sz w:val="20"/>
                <w:szCs w:val="20"/>
              </w:rPr>
              <w:t>Wh</w:t>
            </w:r>
            <w:r>
              <w:rPr>
                <w:b/>
                <w:sz w:val="20"/>
                <w:szCs w:val="20"/>
              </w:rPr>
              <w:t>o are there</w:t>
            </w:r>
            <w:r>
              <w:rPr>
                <w:b/>
                <w:sz w:val="20"/>
                <w:szCs w:val="20"/>
              </w:rPr>
              <w:t>?</w:t>
            </w:r>
            <w:r>
              <w:rPr>
                <w:sz w:val="20"/>
                <w:szCs w:val="20"/>
              </w:rPr>
              <w:t xml:space="preserve"> Mapping main actors of media </w:t>
            </w:r>
            <w:r>
              <w:rPr>
                <w:sz w:val="20"/>
                <w:szCs w:val="20"/>
              </w:rPr>
              <w:t>system</w:t>
            </w:r>
            <w:r>
              <w:rPr>
                <w:sz w:val="20"/>
                <w:szCs w:val="20"/>
              </w:rPr>
              <w:t xml:space="preserve"> and their interrelations.</w:t>
            </w:r>
          </w:p>
        </w:tc>
        <w:tc>
          <w:tcPr>
            <w:tcW w:w="1526"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c>
          <w:tcPr>
            <w:tcW w:w="1158"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4</w:t>
            </w:r>
          </w:p>
        </w:tc>
        <w:tc>
          <w:tcPr>
            <w:tcW w:w="1284"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6</w:t>
            </w:r>
          </w:p>
        </w:tc>
        <w:tc>
          <w:tcPr>
            <w:tcW w:w="1535"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r>
      <w:tr w:rsidR="004D3EFD">
        <w:tc>
          <w:tcPr>
            <w:tcW w:w="441" w:type="dxa"/>
            <w:tcBorders>
              <w:left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4.</w:t>
            </w:r>
          </w:p>
        </w:tc>
        <w:tc>
          <w:tcPr>
            <w:tcW w:w="3081"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b/>
                <w:sz w:val="20"/>
                <w:szCs w:val="20"/>
              </w:rPr>
              <w:t>What is behind?</w:t>
            </w:r>
            <w:r>
              <w:rPr>
                <w:sz w:val="20"/>
                <w:szCs w:val="20"/>
              </w:rPr>
              <w:t xml:space="preserve"> Political and media culture.</w:t>
            </w:r>
          </w:p>
        </w:tc>
        <w:tc>
          <w:tcPr>
            <w:tcW w:w="1526"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c>
          <w:tcPr>
            <w:tcW w:w="1158"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6</w:t>
            </w:r>
          </w:p>
        </w:tc>
        <w:tc>
          <w:tcPr>
            <w:tcW w:w="1284"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4</w:t>
            </w:r>
          </w:p>
        </w:tc>
        <w:tc>
          <w:tcPr>
            <w:tcW w:w="1535"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r>
      <w:tr w:rsidR="004D3EFD">
        <w:tc>
          <w:tcPr>
            <w:tcW w:w="441" w:type="dxa"/>
            <w:tcBorders>
              <w:left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rPr>
                <w:sz w:val="20"/>
                <w:szCs w:val="20"/>
              </w:rPr>
            </w:pPr>
            <w:r>
              <w:rPr>
                <w:sz w:val="20"/>
                <w:szCs w:val="20"/>
              </w:rPr>
              <w:t>5.</w:t>
            </w:r>
          </w:p>
        </w:tc>
        <w:tc>
          <w:tcPr>
            <w:tcW w:w="3081"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rPr>
                <w:sz w:val="20"/>
                <w:szCs w:val="20"/>
              </w:rPr>
            </w:pPr>
            <w:r>
              <w:rPr>
                <w:b/>
                <w:sz w:val="20"/>
                <w:szCs w:val="20"/>
              </w:rPr>
              <w:t xml:space="preserve">Who is audience? </w:t>
            </w:r>
            <w:r>
              <w:rPr>
                <w:sz w:val="20"/>
                <w:szCs w:val="20"/>
              </w:rPr>
              <w:t>Practices of media usage and consumption</w:t>
            </w:r>
          </w:p>
        </w:tc>
        <w:tc>
          <w:tcPr>
            <w:tcW w:w="1526"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c>
          <w:tcPr>
            <w:tcW w:w="1158"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rPr>
                <w:sz w:val="20"/>
                <w:szCs w:val="20"/>
              </w:rPr>
            </w:pPr>
            <w:r>
              <w:rPr>
                <w:sz w:val="20"/>
                <w:szCs w:val="20"/>
              </w:rPr>
              <w:t>6</w:t>
            </w:r>
          </w:p>
        </w:tc>
        <w:tc>
          <w:tcPr>
            <w:tcW w:w="1284"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rPr>
                <w:sz w:val="20"/>
                <w:szCs w:val="20"/>
              </w:rPr>
            </w:pPr>
            <w:r>
              <w:rPr>
                <w:sz w:val="20"/>
                <w:szCs w:val="20"/>
              </w:rPr>
              <w:t>6</w:t>
            </w:r>
          </w:p>
        </w:tc>
        <w:tc>
          <w:tcPr>
            <w:tcW w:w="1535"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r>
      <w:tr w:rsidR="004D3EFD">
        <w:tc>
          <w:tcPr>
            <w:tcW w:w="441" w:type="dxa"/>
            <w:tcBorders>
              <w:left w:val="single" w:sz="8" w:space="0" w:color="000000"/>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 xml:space="preserve"> </w:t>
            </w:r>
          </w:p>
        </w:tc>
        <w:tc>
          <w:tcPr>
            <w:tcW w:w="3081"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jc w:val="center"/>
            </w:pPr>
            <w:r>
              <w:rPr>
                <w:sz w:val="20"/>
                <w:szCs w:val="20"/>
              </w:rPr>
              <w:t xml:space="preserve"> Total</w:t>
            </w:r>
          </w:p>
        </w:tc>
        <w:tc>
          <w:tcPr>
            <w:tcW w:w="1526"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c>
          <w:tcPr>
            <w:tcW w:w="1158"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2</w:t>
            </w:r>
            <w:r>
              <w:rPr>
                <w:sz w:val="20"/>
                <w:szCs w:val="20"/>
              </w:rPr>
              <w:t>8</w:t>
            </w:r>
          </w:p>
        </w:tc>
        <w:tc>
          <w:tcPr>
            <w:tcW w:w="1284" w:type="dxa"/>
            <w:tcBorders>
              <w:bottom w:val="single" w:sz="8" w:space="0" w:color="000000"/>
              <w:right w:val="single" w:sz="8" w:space="0" w:color="000000"/>
            </w:tcBorders>
            <w:tcMar>
              <w:top w:w="100" w:type="dxa"/>
              <w:left w:w="40" w:type="dxa"/>
              <w:bottom w:w="100" w:type="dxa"/>
              <w:right w:w="40" w:type="dxa"/>
            </w:tcMar>
          </w:tcPr>
          <w:p w:rsidR="004D3EFD" w:rsidRDefault="00FF2614">
            <w:pPr>
              <w:spacing w:before="20"/>
              <w:ind w:left="40"/>
            </w:pPr>
            <w:r>
              <w:rPr>
                <w:sz w:val="20"/>
                <w:szCs w:val="20"/>
              </w:rPr>
              <w:t>22</w:t>
            </w:r>
          </w:p>
        </w:tc>
        <w:tc>
          <w:tcPr>
            <w:tcW w:w="1535" w:type="dxa"/>
            <w:tcBorders>
              <w:bottom w:val="single" w:sz="8" w:space="0" w:color="000000"/>
              <w:right w:val="single" w:sz="8" w:space="0" w:color="000000"/>
            </w:tcBorders>
            <w:tcMar>
              <w:top w:w="100" w:type="dxa"/>
              <w:left w:w="40" w:type="dxa"/>
              <w:bottom w:w="100" w:type="dxa"/>
              <w:right w:w="40" w:type="dxa"/>
            </w:tcMar>
          </w:tcPr>
          <w:p w:rsidR="004D3EFD" w:rsidRDefault="004D3EFD">
            <w:pPr>
              <w:spacing w:before="20"/>
              <w:ind w:left="40"/>
            </w:pPr>
          </w:p>
        </w:tc>
      </w:tr>
    </w:tbl>
    <w:p w:rsidR="004D3EFD" w:rsidRDefault="004D3EFD"/>
    <w:p w:rsidR="004D3EFD" w:rsidRDefault="00FF2614">
      <w:pPr>
        <w:numPr>
          <w:ilvl w:val="0"/>
          <w:numId w:val="2"/>
        </w:numPr>
        <w:spacing w:before="20"/>
        <w:ind w:hanging="360"/>
        <w:rPr>
          <w:sz w:val="20"/>
          <w:szCs w:val="20"/>
        </w:rPr>
      </w:pPr>
      <w:r>
        <w:rPr>
          <w:b/>
          <w:sz w:val="20"/>
          <w:szCs w:val="20"/>
        </w:rPr>
        <w:t>Intro. Theory and methodology of media studies.</w:t>
      </w:r>
      <w:r>
        <w:rPr>
          <w:sz w:val="20"/>
          <w:szCs w:val="20"/>
        </w:rPr>
        <w:t xml:space="preserve"> </w:t>
      </w:r>
    </w:p>
    <w:p w:rsidR="004D3EFD" w:rsidRDefault="00FF2614">
      <w:pPr>
        <w:spacing w:before="20"/>
      </w:pPr>
      <w:r>
        <w:rPr>
          <w:sz w:val="20"/>
          <w:szCs w:val="20"/>
        </w:rPr>
        <w:tab/>
      </w:r>
    </w:p>
    <w:p w:rsidR="004D3EFD" w:rsidRDefault="00FF2614">
      <w:pPr>
        <w:spacing w:before="20"/>
      </w:pPr>
      <w:r>
        <w:rPr>
          <w:b/>
          <w:sz w:val="20"/>
          <w:szCs w:val="20"/>
        </w:rPr>
        <w:tab/>
      </w:r>
    </w:p>
    <w:p w:rsidR="004D3EFD" w:rsidRDefault="00FF2614">
      <w:pPr>
        <w:numPr>
          <w:ilvl w:val="0"/>
          <w:numId w:val="2"/>
        </w:numPr>
        <w:spacing w:before="20"/>
        <w:ind w:hanging="360"/>
        <w:rPr>
          <w:sz w:val="20"/>
          <w:szCs w:val="20"/>
        </w:rPr>
      </w:pPr>
      <w:r>
        <w:rPr>
          <w:b/>
          <w:sz w:val="20"/>
          <w:szCs w:val="20"/>
        </w:rPr>
        <w:t>Why market?</w:t>
      </w:r>
      <w:r>
        <w:rPr>
          <w:sz w:val="20"/>
          <w:szCs w:val="20"/>
        </w:rPr>
        <w:t xml:space="preserve"> </w:t>
      </w:r>
      <w:r>
        <w:rPr>
          <w:b/>
          <w:sz w:val="20"/>
          <w:szCs w:val="20"/>
        </w:rPr>
        <w:t>Media in Russia as market: approaches to analysis.</w:t>
      </w:r>
    </w:p>
    <w:p w:rsidR="004D3EFD" w:rsidRDefault="00FF2614">
      <w:pPr>
        <w:spacing w:before="20"/>
        <w:ind w:left="720"/>
      </w:pPr>
      <w:r>
        <w:rPr>
          <w:sz w:val="20"/>
          <w:szCs w:val="20"/>
        </w:rPr>
        <w:t>Different ways to understand market. Market in economic and managerial studies. Market in sociological studies. Market as networks. Market as institutions. Market as culture. Ways to analyze media markets. Dual nature of media market. Characteristics of me</w:t>
      </w:r>
      <w:r>
        <w:rPr>
          <w:sz w:val="20"/>
          <w:szCs w:val="20"/>
        </w:rPr>
        <w:t xml:space="preserve">dia market. Concentration. Rivalry. Media capital. </w:t>
      </w:r>
    </w:p>
    <w:p w:rsidR="004D3EFD" w:rsidRDefault="00FF2614">
      <w:pPr>
        <w:spacing w:before="20"/>
        <w:ind w:left="720"/>
      </w:pPr>
      <w:r>
        <w:rPr>
          <w:sz w:val="20"/>
          <w:szCs w:val="20"/>
        </w:rPr>
        <w:t>Media market in Russia as an industrial and academic concept. Main periods of building media market in Post-Soviet period. Characteristics of each period, key actors, drivers and leaders. Changes in regul</w:t>
      </w:r>
      <w:r>
        <w:rPr>
          <w:sz w:val="20"/>
          <w:szCs w:val="20"/>
        </w:rPr>
        <w:t>ation policy.</w:t>
      </w:r>
    </w:p>
    <w:p w:rsidR="004D3EFD" w:rsidRDefault="004D3EFD">
      <w:pPr>
        <w:spacing w:before="20"/>
        <w:ind w:left="720"/>
      </w:pPr>
    </w:p>
    <w:p w:rsidR="004D3EFD" w:rsidRDefault="00FF2614">
      <w:pPr>
        <w:spacing w:before="20"/>
        <w:ind w:firstLine="720"/>
      </w:pPr>
      <w:r>
        <w:rPr>
          <w:sz w:val="20"/>
          <w:szCs w:val="20"/>
        </w:rPr>
        <w:t>Granovetter, M. S. (1973). The strength of weak ties. American journal of sociology, 78(6), 1360-1380.</w:t>
      </w:r>
    </w:p>
    <w:p w:rsidR="004D3EFD" w:rsidRDefault="00FF2614">
      <w:pPr>
        <w:spacing w:before="20"/>
        <w:ind w:firstLine="720"/>
      </w:pPr>
      <w:r>
        <w:rPr>
          <w:sz w:val="20"/>
          <w:szCs w:val="20"/>
        </w:rPr>
        <w:t>Powell, W. W., &amp; Smith-Doerr, L. (1994). Networks and economic life. The handbook of economic sociology, 368, 380.</w:t>
      </w:r>
    </w:p>
    <w:p w:rsidR="004D3EFD" w:rsidRDefault="00FF2614">
      <w:pPr>
        <w:spacing w:before="20"/>
        <w:ind w:firstLine="720"/>
      </w:pPr>
      <w:r>
        <w:rPr>
          <w:sz w:val="20"/>
          <w:szCs w:val="20"/>
        </w:rPr>
        <w:t>DiMaggio P. J., Powell W. W. The iron cage revisited institutional isomorphism and collective rationality in organizational fields //Economics Meets Sociology in Strategic Management. – Emerald Group Publishing Limited, 2000. – С. 143-166.</w:t>
      </w:r>
    </w:p>
    <w:p w:rsidR="004D3EFD" w:rsidRDefault="00FF2614">
      <w:pPr>
        <w:spacing w:before="20"/>
        <w:ind w:firstLine="720"/>
      </w:pPr>
      <w:r>
        <w:rPr>
          <w:sz w:val="20"/>
          <w:szCs w:val="20"/>
        </w:rPr>
        <w:lastRenderedPageBreak/>
        <w:t>Fligstein, N. (2</w:t>
      </w:r>
      <w:r>
        <w:rPr>
          <w:sz w:val="20"/>
          <w:szCs w:val="20"/>
        </w:rPr>
        <w:t>002). The architecture of markets: An economic sociology of twenty-first-century capitalist societies. Princeton University Press.</w:t>
      </w:r>
    </w:p>
    <w:p w:rsidR="004D3EFD" w:rsidRDefault="00FF2614">
      <w:pPr>
        <w:spacing w:before="20"/>
        <w:ind w:firstLine="720"/>
      </w:pPr>
      <w:r>
        <w:rPr>
          <w:sz w:val="20"/>
          <w:szCs w:val="20"/>
        </w:rPr>
        <w:t>DiMaggio, P. (1994). Culture and economy. The handbook of economic sociology, 27.</w:t>
      </w:r>
    </w:p>
    <w:p w:rsidR="004D3EFD" w:rsidRDefault="00FF2614">
      <w:pPr>
        <w:spacing w:before="20"/>
        <w:ind w:firstLine="720"/>
      </w:pPr>
      <w:r>
        <w:rPr>
          <w:sz w:val="20"/>
          <w:szCs w:val="20"/>
        </w:rPr>
        <w:t>Zassoursky, Ivan (2004), Media and power in</w:t>
      </w:r>
      <w:r>
        <w:rPr>
          <w:sz w:val="20"/>
          <w:szCs w:val="20"/>
        </w:rPr>
        <w:t xml:space="preserve"> post-Soviet Russia, Armonk, NY : M.E. Sharpe.</w:t>
      </w:r>
    </w:p>
    <w:p w:rsidR="004D3EFD" w:rsidRDefault="00FF2614">
      <w:pPr>
        <w:spacing w:before="20"/>
        <w:ind w:firstLine="720"/>
      </w:pPr>
      <w:r>
        <w:rPr>
          <w:sz w:val="20"/>
          <w:szCs w:val="20"/>
        </w:rPr>
        <w:t>Koltsova, Olessya (2006), News media and power in Russia, Abingdon, UK: Routledge.</w:t>
      </w:r>
    </w:p>
    <w:p w:rsidR="004D3EFD" w:rsidRDefault="00FF2614">
      <w:pPr>
        <w:spacing w:before="20"/>
        <w:ind w:firstLine="720"/>
      </w:pPr>
      <w:r>
        <w:rPr>
          <w:sz w:val="20"/>
          <w:szCs w:val="20"/>
        </w:rPr>
        <w:t>Rantanen, Terhi (2002), The global and the national: media and communications in post-Communist Russia, Oxford, UK: Rowman &amp; L</w:t>
      </w:r>
      <w:r>
        <w:rPr>
          <w:sz w:val="20"/>
          <w:szCs w:val="20"/>
        </w:rPr>
        <w:t>ittlefield.</w:t>
      </w:r>
    </w:p>
    <w:p w:rsidR="004D3EFD" w:rsidRDefault="00FF2614">
      <w:pPr>
        <w:spacing w:before="20"/>
        <w:ind w:firstLine="720"/>
      </w:pPr>
      <w:r>
        <w:rPr>
          <w:sz w:val="20"/>
          <w:szCs w:val="20"/>
        </w:rPr>
        <w:t>Richter, A. G. (1995). The Russian press after perestroika. Canadian Journal of Communication, 20(1), 7.</w:t>
      </w:r>
    </w:p>
    <w:p w:rsidR="004D3EFD" w:rsidRDefault="00FF2614">
      <w:pPr>
        <w:spacing w:before="20"/>
        <w:ind w:firstLine="720"/>
      </w:pPr>
      <w:r>
        <w:rPr>
          <w:sz w:val="20"/>
          <w:szCs w:val="20"/>
        </w:rPr>
        <w:t>Rantanen, Terhi (2002), The global and the national: media and communications in post-Communist Russia, Oxford, UK: Rowman &amp; Littlefield.</w:t>
      </w:r>
    </w:p>
    <w:p w:rsidR="004D3EFD" w:rsidRDefault="00FF2614">
      <w:pPr>
        <w:spacing w:before="20"/>
        <w:ind w:firstLine="720"/>
      </w:pPr>
      <w:r>
        <w:rPr>
          <w:sz w:val="20"/>
          <w:szCs w:val="20"/>
        </w:rPr>
        <w:t>T</w:t>
      </w:r>
      <w:r>
        <w:rPr>
          <w:sz w:val="20"/>
          <w:szCs w:val="20"/>
        </w:rPr>
        <w:t>oepfl F. Why do pluralistic media systems emerge? Comparing media change in the</w:t>
      </w:r>
    </w:p>
    <w:p w:rsidR="004D3EFD" w:rsidRDefault="00FF2614">
      <w:pPr>
        <w:spacing w:before="20"/>
        <w:ind w:firstLine="720"/>
      </w:pPr>
      <w:r>
        <w:rPr>
          <w:sz w:val="20"/>
          <w:szCs w:val="20"/>
        </w:rPr>
        <w:t>Czech Republic and in Russia after the collapse of communism. Global Media and</w:t>
      </w:r>
    </w:p>
    <w:p w:rsidR="004D3EFD" w:rsidRDefault="00FF2614">
      <w:pPr>
        <w:spacing w:before="20"/>
        <w:ind w:firstLine="720"/>
      </w:pPr>
      <w:r>
        <w:rPr>
          <w:sz w:val="20"/>
          <w:szCs w:val="20"/>
        </w:rPr>
        <w:t>Communication. 2013. Vol. 9(3). P. 239—256.</w:t>
      </w:r>
    </w:p>
    <w:p w:rsidR="004D3EFD" w:rsidRDefault="00FF2614">
      <w:pPr>
        <w:spacing w:before="20"/>
        <w:ind w:firstLine="720"/>
      </w:pPr>
      <w:r>
        <w:rPr>
          <w:sz w:val="20"/>
          <w:szCs w:val="20"/>
        </w:rPr>
        <w:t>Jakubowicz K. Post-communist Political System in Central and Easter Europe: Politics,</w:t>
      </w:r>
    </w:p>
    <w:p w:rsidR="004D3EFD" w:rsidRDefault="00FF2614">
      <w:pPr>
        <w:spacing w:before="20"/>
        <w:ind w:firstLine="720"/>
      </w:pPr>
      <w:r>
        <w:rPr>
          <w:sz w:val="20"/>
          <w:szCs w:val="20"/>
        </w:rPr>
        <w:t>Economy, Culture. // in Downey J. &amp; Mihelj S. (Eds.). Central and Eastern European</w:t>
      </w:r>
    </w:p>
    <w:p w:rsidR="004D3EFD" w:rsidRDefault="00FF2614">
      <w:pPr>
        <w:spacing w:before="20"/>
        <w:ind w:firstLine="720"/>
      </w:pPr>
      <w:r>
        <w:rPr>
          <w:sz w:val="20"/>
          <w:szCs w:val="20"/>
        </w:rPr>
        <w:t>media in comparative perspective: politics, economy and culture. Ashgate Publishing</w:t>
      </w:r>
    </w:p>
    <w:p w:rsidR="004D3EFD" w:rsidRDefault="00FF2614">
      <w:pPr>
        <w:spacing w:before="20"/>
        <w:ind w:firstLine="720"/>
      </w:pPr>
      <w:r>
        <w:rPr>
          <w:sz w:val="20"/>
          <w:szCs w:val="20"/>
        </w:rPr>
        <w:t>Ltd</w:t>
      </w:r>
      <w:r>
        <w:rPr>
          <w:sz w:val="20"/>
          <w:szCs w:val="20"/>
        </w:rPr>
        <w:t>., 2012.</w:t>
      </w:r>
    </w:p>
    <w:p w:rsidR="004D3EFD" w:rsidRDefault="00FF2614">
      <w:pPr>
        <w:spacing w:before="20"/>
        <w:ind w:firstLine="720"/>
      </w:pPr>
      <w:r>
        <w:rPr>
          <w:sz w:val="20"/>
          <w:szCs w:val="20"/>
        </w:rPr>
        <w:t>Price, Monroe, Richter, Andrei, Yu, Peter (2002), Russian media law and policy in the Yeltsin decade: essays and documents, London, UK: Kluwer Law International.</w:t>
      </w:r>
    </w:p>
    <w:p w:rsidR="004D3EFD" w:rsidRDefault="004D3EFD">
      <w:pPr>
        <w:spacing w:before="20"/>
      </w:pPr>
    </w:p>
    <w:p w:rsidR="004D3EFD" w:rsidRDefault="00FF2614">
      <w:pPr>
        <w:numPr>
          <w:ilvl w:val="0"/>
          <w:numId w:val="2"/>
        </w:numPr>
        <w:spacing w:before="20"/>
        <w:ind w:hanging="360"/>
        <w:rPr>
          <w:sz w:val="20"/>
          <w:szCs w:val="20"/>
        </w:rPr>
      </w:pPr>
      <w:r>
        <w:rPr>
          <w:b/>
          <w:sz w:val="20"/>
          <w:szCs w:val="20"/>
        </w:rPr>
        <w:t>Wh</w:t>
      </w:r>
      <w:r>
        <w:rPr>
          <w:b/>
          <w:sz w:val="20"/>
          <w:szCs w:val="20"/>
        </w:rPr>
        <w:t>o are there</w:t>
      </w:r>
      <w:r>
        <w:rPr>
          <w:b/>
          <w:sz w:val="20"/>
          <w:szCs w:val="20"/>
        </w:rPr>
        <w:t>? Mapping main actors and their interrelations.</w:t>
      </w:r>
    </w:p>
    <w:p w:rsidR="004D3EFD" w:rsidRDefault="00FF2614">
      <w:pPr>
        <w:spacing w:before="20"/>
      </w:pPr>
      <w:r>
        <w:rPr>
          <w:b/>
          <w:sz w:val="20"/>
          <w:szCs w:val="20"/>
        </w:rPr>
        <w:tab/>
      </w:r>
      <w:r>
        <w:rPr>
          <w:sz w:val="20"/>
          <w:szCs w:val="20"/>
        </w:rPr>
        <w:t>Companies as actors. M</w:t>
      </w:r>
      <w:r>
        <w:rPr>
          <w:sz w:val="20"/>
          <w:szCs w:val="20"/>
        </w:rPr>
        <w:t>ain media corporations: assets, owners, financial performance. State and private capital. Public service model in Russia. Regional media companies.</w:t>
      </w:r>
    </w:p>
    <w:p w:rsidR="004D3EFD" w:rsidRDefault="00FF2614">
      <w:pPr>
        <w:spacing w:before="20"/>
      </w:pPr>
      <w:r>
        <w:rPr>
          <w:sz w:val="20"/>
          <w:szCs w:val="20"/>
        </w:rPr>
        <w:tab/>
        <w:t>Content as product. Transformation of genres. Prevalence of entertaining content. Social responsibility fun</w:t>
      </w:r>
      <w:r>
        <w:rPr>
          <w:sz w:val="20"/>
          <w:szCs w:val="20"/>
        </w:rPr>
        <w:t xml:space="preserve">ction and content. Piracy.  </w:t>
      </w:r>
    </w:p>
    <w:p w:rsidR="004D3EFD" w:rsidRDefault="00FF2614">
      <w:pPr>
        <w:spacing w:before="20"/>
      </w:pPr>
      <w:r>
        <w:rPr>
          <w:sz w:val="20"/>
          <w:szCs w:val="20"/>
        </w:rPr>
        <w:tab/>
        <w:t xml:space="preserve">Audience as service. Access to audience. </w:t>
      </w:r>
    </w:p>
    <w:p w:rsidR="004D3EFD" w:rsidRDefault="00FF2614">
      <w:pPr>
        <w:spacing w:before="20"/>
      </w:pPr>
      <w:r>
        <w:rPr>
          <w:sz w:val="20"/>
          <w:szCs w:val="20"/>
        </w:rPr>
        <w:lastRenderedPageBreak/>
        <w:tab/>
        <w:t xml:space="preserve">Role of the state. State as arbiter. State as market actor. Types of state support. State and media capital. Direct and indirect support. Informational contracts. </w:t>
      </w:r>
    </w:p>
    <w:p w:rsidR="004D3EFD" w:rsidRDefault="00FF2614">
      <w:pPr>
        <w:spacing w:before="20"/>
        <w:ind w:firstLine="720"/>
      </w:pPr>
      <w:r>
        <w:rPr>
          <w:sz w:val="20"/>
          <w:szCs w:val="20"/>
        </w:rPr>
        <w:t>Journalist communit</w:t>
      </w:r>
      <w:r>
        <w:rPr>
          <w:sz w:val="20"/>
          <w:szCs w:val="20"/>
        </w:rPr>
        <w:t xml:space="preserve">y. Role of journalists in the contemporary media market in Russia.  Censorship. Self-censorship. “Adekvanost”. Clientelism.  </w:t>
      </w:r>
    </w:p>
    <w:p w:rsidR="004D3EFD" w:rsidRDefault="00FF2614">
      <w:pPr>
        <w:spacing w:before="20"/>
      </w:pPr>
      <w:r>
        <w:rPr>
          <w:sz w:val="20"/>
          <w:szCs w:val="20"/>
        </w:rPr>
        <w:tab/>
      </w:r>
    </w:p>
    <w:p w:rsidR="004D3EFD" w:rsidRDefault="00FF2614">
      <w:pPr>
        <w:spacing w:before="20"/>
        <w:ind w:firstLine="720"/>
      </w:pPr>
      <w:r>
        <w:rPr>
          <w:sz w:val="20"/>
          <w:szCs w:val="20"/>
        </w:rPr>
        <w:t xml:space="preserve">Kiriya, Ilya &amp; Degtereva, Elena (2010). Russian TV Market: Between State Supervision, Commercial Logic and Simulacrum of Public </w:t>
      </w:r>
      <w:r>
        <w:rPr>
          <w:sz w:val="20"/>
          <w:szCs w:val="20"/>
        </w:rPr>
        <w:t xml:space="preserve">Service. </w:t>
      </w:r>
      <w:r>
        <w:rPr>
          <w:i/>
          <w:sz w:val="20"/>
          <w:szCs w:val="20"/>
        </w:rPr>
        <w:t>Central European Journal of Communication</w:t>
      </w:r>
      <w:r>
        <w:rPr>
          <w:sz w:val="20"/>
          <w:szCs w:val="20"/>
        </w:rPr>
        <w:t>, 1, 37-51.</w:t>
      </w:r>
    </w:p>
    <w:p w:rsidR="004D3EFD" w:rsidRDefault="00FF2614">
      <w:pPr>
        <w:spacing w:before="20"/>
        <w:ind w:firstLine="720"/>
      </w:pPr>
      <w:r>
        <w:rPr>
          <w:color w:val="222222"/>
          <w:sz w:val="20"/>
          <w:szCs w:val="20"/>
          <w:highlight w:val="white"/>
        </w:rPr>
        <w:t xml:space="preserve">Kiriya, I., &amp; Sherstoboeva, E. (2015). Russian Media Piracy in the Context of Censoring Practices. </w:t>
      </w:r>
      <w:r>
        <w:rPr>
          <w:i/>
          <w:color w:val="222222"/>
          <w:sz w:val="20"/>
          <w:szCs w:val="20"/>
          <w:highlight w:val="white"/>
        </w:rPr>
        <w:t>International Journal of Communication</w:t>
      </w:r>
      <w:r>
        <w:rPr>
          <w:color w:val="222222"/>
          <w:sz w:val="20"/>
          <w:szCs w:val="20"/>
          <w:highlight w:val="white"/>
        </w:rPr>
        <w:t xml:space="preserve">, </w:t>
      </w:r>
      <w:r>
        <w:rPr>
          <w:i/>
          <w:color w:val="222222"/>
          <w:sz w:val="20"/>
          <w:szCs w:val="20"/>
          <w:highlight w:val="white"/>
        </w:rPr>
        <w:t>9</w:t>
      </w:r>
      <w:r>
        <w:rPr>
          <w:color w:val="222222"/>
          <w:sz w:val="20"/>
          <w:szCs w:val="20"/>
          <w:highlight w:val="white"/>
        </w:rPr>
        <w:t>, 839-851.</w:t>
      </w:r>
    </w:p>
    <w:p w:rsidR="004D3EFD" w:rsidRDefault="00FF2614">
      <w:pPr>
        <w:spacing w:before="20"/>
        <w:ind w:firstLine="720"/>
      </w:pPr>
      <w:r>
        <w:rPr>
          <w:color w:val="222222"/>
          <w:sz w:val="20"/>
          <w:szCs w:val="20"/>
          <w:highlight w:val="white"/>
        </w:rPr>
        <w:t>Schimpfossl, E., &amp;</w:t>
      </w:r>
      <w:r>
        <w:rPr>
          <w:color w:val="222222"/>
          <w:sz w:val="20"/>
          <w:szCs w:val="20"/>
          <w:highlight w:val="white"/>
        </w:rPr>
        <w:t xml:space="preserve"> Yablokov, I. (2014). Coercion or conformism? Censorship and self-censorship among Russian media personalities and reporters in the 2010s. </w:t>
      </w:r>
      <w:r>
        <w:rPr>
          <w:i/>
          <w:color w:val="222222"/>
          <w:sz w:val="20"/>
          <w:szCs w:val="20"/>
          <w:highlight w:val="white"/>
        </w:rPr>
        <w:t>Demokratizatsiya</w:t>
      </w:r>
      <w:r>
        <w:rPr>
          <w:color w:val="222222"/>
          <w:sz w:val="20"/>
          <w:szCs w:val="20"/>
          <w:highlight w:val="white"/>
        </w:rPr>
        <w:t xml:space="preserve">, </w:t>
      </w:r>
      <w:r>
        <w:rPr>
          <w:i/>
          <w:color w:val="222222"/>
          <w:sz w:val="20"/>
          <w:szCs w:val="20"/>
          <w:highlight w:val="white"/>
        </w:rPr>
        <w:t>22</w:t>
      </w:r>
      <w:r>
        <w:rPr>
          <w:color w:val="222222"/>
          <w:sz w:val="20"/>
          <w:szCs w:val="20"/>
          <w:highlight w:val="white"/>
        </w:rPr>
        <w:t>(2), 295.</w:t>
      </w:r>
    </w:p>
    <w:p w:rsidR="004D3EFD" w:rsidRDefault="00FF2614">
      <w:pPr>
        <w:spacing w:before="20"/>
        <w:ind w:firstLine="720"/>
      </w:pPr>
      <w:r>
        <w:rPr>
          <w:color w:val="222222"/>
          <w:sz w:val="20"/>
          <w:szCs w:val="20"/>
          <w:highlight w:val="white"/>
        </w:rPr>
        <w:t xml:space="preserve">Vartanova, E. (2012). The Russian media model in the context of post-Soviet dynamics. </w:t>
      </w:r>
      <w:r>
        <w:rPr>
          <w:i/>
          <w:color w:val="222222"/>
          <w:sz w:val="20"/>
          <w:szCs w:val="20"/>
          <w:highlight w:val="white"/>
        </w:rPr>
        <w:t>C</w:t>
      </w:r>
      <w:r>
        <w:rPr>
          <w:i/>
          <w:color w:val="222222"/>
          <w:sz w:val="20"/>
          <w:szCs w:val="20"/>
          <w:highlight w:val="white"/>
        </w:rPr>
        <w:t>omparing media systems beyond the Western world</w:t>
      </w:r>
      <w:r>
        <w:rPr>
          <w:color w:val="222222"/>
          <w:sz w:val="20"/>
          <w:szCs w:val="20"/>
          <w:highlight w:val="white"/>
        </w:rPr>
        <w:t>, 119-142.</w:t>
      </w:r>
    </w:p>
    <w:p w:rsidR="004D3EFD" w:rsidRDefault="00FF2614">
      <w:pPr>
        <w:spacing w:before="20"/>
        <w:ind w:firstLine="720"/>
      </w:pPr>
      <w:r>
        <w:rPr>
          <w:color w:val="222222"/>
          <w:sz w:val="20"/>
          <w:szCs w:val="20"/>
          <w:highlight w:val="white"/>
        </w:rPr>
        <w:t xml:space="preserve">Rosenholm, A., Nordenstreng, K., &amp; Trubina, E. (Eds.). (2010). </w:t>
      </w:r>
      <w:r>
        <w:rPr>
          <w:i/>
          <w:color w:val="222222"/>
          <w:sz w:val="20"/>
          <w:szCs w:val="20"/>
          <w:highlight w:val="white"/>
        </w:rPr>
        <w:t>Russian mass media and changing values</w:t>
      </w:r>
      <w:r>
        <w:rPr>
          <w:color w:val="222222"/>
          <w:sz w:val="20"/>
          <w:szCs w:val="20"/>
          <w:highlight w:val="white"/>
        </w:rPr>
        <w:t>. Routledge.</w:t>
      </w:r>
    </w:p>
    <w:p w:rsidR="004D3EFD" w:rsidRDefault="00FF2614">
      <w:pPr>
        <w:spacing w:before="20"/>
        <w:ind w:firstLine="720"/>
      </w:pPr>
      <w:r>
        <w:rPr>
          <w:color w:val="222222"/>
          <w:sz w:val="20"/>
          <w:szCs w:val="20"/>
          <w:highlight w:val="white"/>
        </w:rPr>
        <w:t xml:space="preserve">Oates, S. (2007). The neo-Soviet model of the media. </w:t>
      </w:r>
      <w:r>
        <w:rPr>
          <w:i/>
          <w:color w:val="222222"/>
          <w:sz w:val="20"/>
          <w:szCs w:val="20"/>
          <w:highlight w:val="white"/>
        </w:rPr>
        <w:t>Europe-Asia Studies</w:t>
      </w:r>
      <w:r>
        <w:rPr>
          <w:color w:val="222222"/>
          <w:sz w:val="20"/>
          <w:szCs w:val="20"/>
          <w:highlight w:val="white"/>
        </w:rPr>
        <w:t xml:space="preserve">, </w:t>
      </w:r>
      <w:r>
        <w:rPr>
          <w:i/>
          <w:color w:val="222222"/>
          <w:sz w:val="20"/>
          <w:szCs w:val="20"/>
          <w:highlight w:val="white"/>
        </w:rPr>
        <w:t>59</w:t>
      </w:r>
      <w:r>
        <w:rPr>
          <w:color w:val="222222"/>
          <w:sz w:val="20"/>
          <w:szCs w:val="20"/>
          <w:highlight w:val="white"/>
        </w:rPr>
        <w:t>(8), 127</w:t>
      </w:r>
      <w:r>
        <w:rPr>
          <w:color w:val="222222"/>
          <w:sz w:val="20"/>
          <w:szCs w:val="20"/>
          <w:highlight w:val="white"/>
        </w:rPr>
        <w:t>9-1297.</w:t>
      </w:r>
    </w:p>
    <w:p w:rsidR="004D3EFD" w:rsidRDefault="00FF2614">
      <w:pPr>
        <w:spacing w:before="20"/>
        <w:ind w:firstLine="720"/>
      </w:pPr>
      <w:r>
        <w:rPr>
          <w:color w:val="222222"/>
          <w:sz w:val="20"/>
          <w:szCs w:val="20"/>
          <w:highlight w:val="white"/>
        </w:rPr>
        <w:t xml:space="preserve">Richter, A. (2008). Post-Soviet Perspective On Censorship and Freedom of the Media An Overview. </w:t>
      </w:r>
      <w:r>
        <w:rPr>
          <w:i/>
          <w:color w:val="222222"/>
          <w:sz w:val="20"/>
          <w:szCs w:val="20"/>
          <w:highlight w:val="white"/>
        </w:rPr>
        <w:t>International Communication Gazette</w:t>
      </w:r>
      <w:r>
        <w:rPr>
          <w:color w:val="222222"/>
          <w:sz w:val="20"/>
          <w:szCs w:val="20"/>
          <w:highlight w:val="white"/>
        </w:rPr>
        <w:t xml:space="preserve">, </w:t>
      </w:r>
      <w:r>
        <w:rPr>
          <w:i/>
          <w:color w:val="222222"/>
          <w:sz w:val="20"/>
          <w:szCs w:val="20"/>
          <w:highlight w:val="white"/>
        </w:rPr>
        <w:t>70</w:t>
      </w:r>
      <w:r>
        <w:rPr>
          <w:color w:val="222222"/>
          <w:sz w:val="20"/>
          <w:szCs w:val="20"/>
          <w:highlight w:val="white"/>
        </w:rPr>
        <w:t>(5), 307-324.</w:t>
      </w:r>
    </w:p>
    <w:p w:rsidR="004D3EFD" w:rsidRDefault="00FF2614">
      <w:pPr>
        <w:spacing w:before="20"/>
        <w:ind w:firstLine="720"/>
      </w:pPr>
      <w:r>
        <w:rPr>
          <w:color w:val="222222"/>
          <w:sz w:val="20"/>
          <w:szCs w:val="20"/>
          <w:highlight w:val="white"/>
        </w:rPr>
        <w:t>Hallin, D. C., &amp; Papathanassopoulos, S. (2002). Political clientelism and the media: Southern Europ</w:t>
      </w:r>
      <w:r>
        <w:rPr>
          <w:color w:val="222222"/>
          <w:sz w:val="20"/>
          <w:szCs w:val="20"/>
          <w:highlight w:val="white"/>
        </w:rPr>
        <w:t xml:space="preserve">e and Latin America in comparative perspective. </w:t>
      </w:r>
      <w:r>
        <w:rPr>
          <w:i/>
          <w:color w:val="222222"/>
          <w:sz w:val="20"/>
          <w:szCs w:val="20"/>
          <w:highlight w:val="white"/>
        </w:rPr>
        <w:t>Media, culture &amp; society</w:t>
      </w:r>
      <w:r>
        <w:rPr>
          <w:color w:val="222222"/>
          <w:sz w:val="20"/>
          <w:szCs w:val="20"/>
          <w:highlight w:val="white"/>
        </w:rPr>
        <w:t xml:space="preserve">, </w:t>
      </w:r>
      <w:r>
        <w:rPr>
          <w:i/>
          <w:color w:val="222222"/>
          <w:sz w:val="20"/>
          <w:szCs w:val="20"/>
          <w:highlight w:val="white"/>
        </w:rPr>
        <w:t>24</w:t>
      </w:r>
      <w:r>
        <w:rPr>
          <w:color w:val="222222"/>
          <w:sz w:val="20"/>
          <w:szCs w:val="20"/>
          <w:highlight w:val="white"/>
        </w:rPr>
        <w:t>(2), 175-195.</w:t>
      </w:r>
    </w:p>
    <w:p w:rsidR="004D3EFD" w:rsidRDefault="00FF2614">
      <w:pPr>
        <w:spacing w:before="20"/>
        <w:ind w:firstLine="720"/>
      </w:pPr>
      <w:r>
        <w:rPr>
          <w:color w:val="222222"/>
          <w:sz w:val="20"/>
          <w:szCs w:val="20"/>
          <w:highlight w:val="white"/>
        </w:rPr>
        <w:t xml:space="preserve">Roudakova, N. (2008). Media—political clientelism: lessons from anthropology. </w:t>
      </w:r>
      <w:r>
        <w:rPr>
          <w:i/>
          <w:color w:val="222222"/>
          <w:sz w:val="20"/>
          <w:szCs w:val="20"/>
          <w:highlight w:val="white"/>
        </w:rPr>
        <w:t>Media, Culture &amp; Society</w:t>
      </w:r>
      <w:r>
        <w:rPr>
          <w:color w:val="222222"/>
          <w:sz w:val="20"/>
          <w:szCs w:val="20"/>
          <w:highlight w:val="white"/>
        </w:rPr>
        <w:t xml:space="preserve">, </w:t>
      </w:r>
      <w:r>
        <w:rPr>
          <w:i/>
          <w:color w:val="222222"/>
          <w:sz w:val="20"/>
          <w:szCs w:val="20"/>
          <w:highlight w:val="white"/>
        </w:rPr>
        <w:t>30</w:t>
      </w:r>
      <w:r>
        <w:rPr>
          <w:color w:val="222222"/>
          <w:sz w:val="20"/>
          <w:szCs w:val="20"/>
          <w:highlight w:val="white"/>
        </w:rPr>
        <w:t>(1), 41-59.</w:t>
      </w:r>
    </w:p>
    <w:p w:rsidR="004D3EFD" w:rsidRDefault="00FF2614">
      <w:pPr>
        <w:spacing w:before="20"/>
        <w:ind w:firstLine="720"/>
      </w:pPr>
      <w:r>
        <w:rPr>
          <w:color w:val="222222"/>
          <w:sz w:val="20"/>
          <w:szCs w:val="20"/>
          <w:highlight w:val="white"/>
        </w:rPr>
        <w:t>Pasti, S. (2005). Two generations of contemporar</w:t>
      </w:r>
      <w:r>
        <w:rPr>
          <w:color w:val="222222"/>
          <w:sz w:val="20"/>
          <w:szCs w:val="20"/>
          <w:highlight w:val="white"/>
        </w:rPr>
        <w:t xml:space="preserve">y Russian journalists. </w:t>
      </w:r>
      <w:r>
        <w:rPr>
          <w:i/>
          <w:color w:val="222222"/>
          <w:sz w:val="20"/>
          <w:szCs w:val="20"/>
          <w:highlight w:val="white"/>
        </w:rPr>
        <w:t>European Journal of Communication</w:t>
      </w:r>
      <w:r>
        <w:rPr>
          <w:color w:val="222222"/>
          <w:sz w:val="20"/>
          <w:szCs w:val="20"/>
          <w:highlight w:val="white"/>
        </w:rPr>
        <w:t xml:space="preserve">, </w:t>
      </w:r>
      <w:r>
        <w:rPr>
          <w:i/>
          <w:color w:val="222222"/>
          <w:sz w:val="20"/>
          <w:szCs w:val="20"/>
          <w:highlight w:val="white"/>
        </w:rPr>
        <w:t>20</w:t>
      </w:r>
      <w:r>
        <w:rPr>
          <w:color w:val="222222"/>
          <w:sz w:val="20"/>
          <w:szCs w:val="20"/>
          <w:highlight w:val="white"/>
        </w:rPr>
        <w:t>(1), 89-115.</w:t>
      </w:r>
    </w:p>
    <w:p w:rsidR="004D3EFD" w:rsidRDefault="004D3EFD">
      <w:pPr>
        <w:spacing w:before="20"/>
      </w:pPr>
    </w:p>
    <w:p w:rsidR="004D3EFD" w:rsidRDefault="00FF2614">
      <w:pPr>
        <w:numPr>
          <w:ilvl w:val="0"/>
          <w:numId w:val="2"/>
        </w:numPr>
        <w:spacing w:before="20"/>
        <w:ind w:hanging="360"/>
        <w:rPr>
          <w:sz w:val="20"/>
          <w:szCs w:val="20"/>
        </w:rPr>
      </w:pPr>
      <w:r>
        <w:rPr>
          <w:b/>
          <w:sz w:val="20"/>
          <w:szCs w:val="20"/>
        </w:rPr>
        <w:t>What is behind?</w:t>
      </w:r>
      <w:r>
        <w:rPr>
          <w:sz w:val="20"/>
          <w:szCs w:val="20"/>
        </w:rPr>
        <w:t xml:space="preserve"> </w:t>
      </w:r>
      <w:r>
        <w:rPr>
          <w:b/>
          <w:sz w:val="20"/>
          <w:szCs w:val="20"/>
        </w:rPr>
        <w:t>Political and media culture.</w:t>
      </w:r>
    </w:p>
    <w:p w:rsidR="004D3EFD" w:rsidRDefault="00FF2614">
      <w:pPr>
        <w:spacing w:before="20"/>
        <w:ind w:left="720"/>
      </w:pPr>
      <w:r>
        <w:rPr>
          <w:sz w:val="20"/>
          <w:szCs w:val="20"/>
        </w:rPr>
        <w:t>The mix of orality and literacy in Russian culture. Secondary orality in Russian culture and media in 20-21th centuries.</w:t>
      </w:r>
    </w:p>
    <w:p w:rsidR="004D3EFD" w:rsidRDefault="00FF2614">
      <w:pPr>
        <w:spacing w:before="20"/>
        <w:ind w:left="720"/>
      </w:pPr>
      <w:r>
        <w:rPr>
          <w:sz w:val="20"/>
          <w:szCs w:val="20"/>
        </w:rPr>
        <w:t xml:space="preserve">The idea of “middle worlds” in Russian political culture. The media as “middle worlds” in 21th century. </w:t>
      </w:r>
    </w:p>
    <w:p w:rsidR="004D3EFD" w:rsidRDefault="00FF2614">
      <w:pPr>
        <w:spacing w:before="20"/>
        <w:ind w:left="720"/>
        <w:rPr>
          <w:sz w:val="20"/>
          <w:szCs w:val="20"/>
        </w:rPr>
      </w:pPr>
      <w:r>
        <w:rPr>
          <w:sz w:val="20"/>
          <w:szCs w:val="20"/>
        </w:rPr>
        <w:lastRenderedPageBreak/>
        <w:t xml:space="preserve">The myth of “good tzar and bad boyards” in Russian political culture. The role of media in maintaining political mythology in Russia. </w:t>
      </w:r>
    </w:p>
    <w:p w:rsidR="004D3EFD" w:rsidRDefault="00FF2614">
      <w:pPr>
        <w:spacing w:before="20"/>
        <w:ind w:left="720"/>
      </w:pPr>
      <w:r>
        <w:rPr>
          <w:sz w:val="20"/>
          <w:szCs w:val="20"/>
        </w:rPr>
        <w:t xml:space="preserve">Identity crisis </w:t>
      </w:r>
      <w:r>
        <w:rPr>
          <w:sz w:val="20"/>
          <w:szCs w:val="20"/>
        </w:rPr>
        <w:t>in Russia.</w:t>
      </w:r>
    </w:p>
    <w:p w:rsidR="004D3EFD" w:rsidRDefault="00FF2614">
      <w:pPr>
        <w:spacing w:before="20"/>
        <w:ind w:left="720"/>
      </w:pPr>
      <w:r>
        <w:rPr>
          <w:sz w:val="20"/>
          <w:szCs w:val="20"/>
        </w:rPr>
        <w:t xml:space="preserve">Media mainstream, folk culture and underground in Russia: struggle and adaptation. </w:t>
      </w:r>
    </w:p>
    <w:p w:rsidR="004D3EFD" w:rsidRDefault="00FF2614">
      <w:pPr>
        <w:spacing w:before="20"/>
        <w:ind w:left="720"/>
      </w:pPr>
      <w:r>
        <w:rPr>
          <w:sz w:val="20"/>
          <w:szCs w:val="20"/>
        </w:rPr>
        <w:t xml:space="preserve">Russian media phenomena: criminal culture in media (Russian shanson etc), “new Russian comedy”.    </w:t>
      </w:r>
    </w:p>
    <w:p w:rsidR="004D3EFD" w:rsidRDefault="004D3EFD">
      <w:pPr>
        <w:spacing w:before="20"/>
      </w:pPr>
    </w:p>
    <w:p w:rsidR="004D3EFD" w:rsidRDefault="00FF2614">
      <w:pPr>
        <w:spacing w:before="20"/>
      </w:pPr>
      <w:r>
        <w:rPr>
          <w:b/>
          <w:sz w:val="20"/>
          <w:szCs w:val="20"/>
        </w:rPr>
        <w:tab/>
      </w:r>
      <w:r>
        <w:rPr>
          <w:sz w:val="20"/>
          <w:szCs w:val="20"/>
        </w:rPr>
        <w:t xml:space="preserve">Innis H. (1951) </w:t>
      </w:r>
      <w:r>
        <w:rPr>
          <w:i/>
          <w:sz w:val="20"/>
          <w:szCs w:val="20"/>
        </w:rPr>
        <w:t>The Bias of Communication</w:t>
      </w:r>
      <w:r>
        <w:rPr>
          <w:sz w:val="20"/>
          <w:szCs w:val="20"/>
        </w:rPr>
        <w:t>. Toronto: Univers</w:t>
      </w:r>
      <w:r>
        <w:rPr>
          <w:sz w:val="20"/>
          <w:szCs w:val="20"/>
        </w:rPr>
        <w:t>ity of Toronto Press.</w:t>
      </w:r>
    </w:p>
    <w:p w:rsidR="004D3EFD" w:rsidRDefault="00FF2614">
      <w:pPr>
        <w:spacing w:before="20"/>
        <w:ind w:left="720"/>
      </w:pPr>
      <w:r>
        <w:rPr>
          <w:sz w:val="20"/>
          <w:szCs w:val="20"/>
        </w:rPr>
        <w:t xml:space="preserve">Foxall, A. (2013). Photographing Vladimir Putin: Masculinity, nationalism and visuality in Russian political culture. </w:t>
      </w:r>
      <w:r>
        <w:rPr>
          <w:i/>
          <w:sz w:val="20"/>
          <w:szCs w:val="20"/>
        </w:rPr>
        <w:t xml:space="preserve">Geopolitics, </w:t>
      </w:r>
      <w:r>
        <w:rPr>
          <w:sz w:val="20"/>
          <w:szCs w:val="20"/>
        </w:rPr>
        <w:t>18(1), 132-156.</w:t>
      </w:r>
    </w:p>
    <w:p w:rsidR="004D3EFD" w:rsidRDefault="00FF2614">
      <w:pPr>
        <w:spacing w:before="20"/>
        <w:ind w:left="720"/>
      </w:pPr>
      <w:r>
        <w:rPr>
          <w:sz w:val="20"/>
          <w:szCs w:val="20"/>
        </w:rPr>
        <w:t xml:space="preserve">McLuhan, M. (1994). </w:t>
      </w:r>
      <w:r>
        <w:rPr>
          <w:i/>
          <w:sz w:val="20"/>
          <w:szCs w:val="20"/>
        </w:rPr>
        <w:t>Understanding media: The extensions of man</w:t>
      </w:r>
      <w:r>
        <w:rPr>
          <w:sz w:val="20"/>
          <w:szCs w:val="20"/>
        </w:rPr>
        <w:t>. MIT press.</w:t>
      </w:r>
    </w:p>
    <w:p w:rsidR="004D3EFD" w:rsidRDefault="00FF2614">
      <w:pPr>
        <w:spacing w:before="20"/>
        <w:ind w:left="720"/>
      </w:pPr>
      <w:r>
        <w:rPr>
          <w:sz w:val="20"/>
          <w:szCs w:val="20"/>
        </w:rPr>
        <w:t>Ong, W. J. (</w:t>
      </w:r>
      <w:r>
        <w:rPr>
          <w:sz w:val="20"/>
          <w:szCs w:val="20"/>
        </w:rPr>
        <w:t xml:space="preserve">2013). </w:t>
      </w:r>
      <w:r>
        <w:rPr>
          <w:i/>
          <w:sz w:val="20"/>
          <w:szCs w:val="20"/>
        </w:rPr>
        <w:t>Orality and literacy.</w:t>
      </w:r>
      <w:r>
        <w:rPr>
          <w:sz w:val="20"/>
          <w:szCs w:val="20"/>
        </w:rPr>
        <w:t xml:space="preserve"> Routledge.</w:t>
      </w:r>
    </w:p>
    <w:p w:rsidR="004D3EFD" w:rsidRDefault="00FF2614">
      <w:pPr>
        <w:spacing w:before="20"/>
        <w:ind w:left="720"/>
      </w:pPr>
      <w:r>
        <w:rPr>
          <w:sz w:val="20"/>
          <w:szCs w:val="20"/>
        </w:rPr>
        <w:t xml:space="preserve">Pahl, B. (2017). Pussy Riot’s humour and the social media: Self-irony, subversion, and solidarity. </w:t>
      </w:r>
      <w:r>
        <w:rPr>
          <w:i/>
          <w:sz w:val="20"/>
          <w:szCs w:val="20"/>
        </w:rPr>
        <w:t>The European Journal of Humour Research,</w:t>
      </w:r>
      <w:r>
        <w:rPr>
          <w:sz w:val="20"/>
          <w:szCs w:val="20"/>
        </w:rPr>
        <w:t xml:space="preserve"> 4(4), 67-104.</w:t>
      </w:r>
    </w:p>
    <w:p w:rsidR="004D3EFD" w:rsidRDefault="00FF2614">
      <w:pPr>
        <w:spacing w:before="20"/>
        <w:ind w:left="720"/>
      </w:pPr>
      <w:r>
        <w:rPr>
          <w:sz w:val="20"/>
          <w:szCs w:val="20"/>
        </w:rPr>
        <w:t xml:space="preserve">Postoutenko, K., &amp; Zakharine, D. (2016). Secondary orality in </w:t>
      </w:r>
      <w:r>
        <w:rPr>
          <w:sz w:val="20"/>
          <w:szCs w:val="20"/>
        </w:rPr>
        <w:t xml:space="preserve">twentieth-century Russian culture (language, cinema and politics): an introduction. </w:t>
      </w:r>
      <w:r>
        <w:rPr>
          <w:i/>
          <w:sz w:val="20"/>
          <w:szCs w:val="20"/>
        </w:rPr>
        <w:t>Russian Journal of Communication</w:t>
      </w:r>
      <w:r>
        <w:rPr>
          <w:sz w:val="20"/>
          <w:szCs w:val="20"/>
        </w:rPr>
        <w:t>, 8(2), 119-121.</w:t>
      </w:r>
    </w:p>
    <w:p w:rsidR="004D3EFD" w:rsidRDefault="00FF2614">
      <w:pPr>
        <w:spacing w:before="20"/>
        <w:ind w:left="720"/>
      </w:pPr>
      <w:r>
        <w:rPr>
          <w:sz w:val="20"/>
          <w:szCs w:val="20"/>
        </w:rPr>
        <w:t xml:space="preserve">Robertson, G. B. (2010). </w:t>
      </w:r>
      <w:r>
        <w:rPr>
          <w:i/>
          <w:sz w:val="20"/>
          <w:szCs w:val="20"/>
        </w:rPr>
        <w:t xml:space="preserve">The politics of protest in hybrid regimes: Managing dissent in post-communist Russia. </w:t>
      </w:r>
      <w:r>
        <w:rPr>
          <w:sz w:val="20"/>
          <w:szCs w:val="20"/>
        </w:rPr>
        <w:t>Cambridge Un</w:t>
      </w:r>
      <w:r>
        <w:rPr>
          <w:sz w:val="20"/>
          <w:szCs w:val="20"/>
        </w:rPr>
        <w:t>iversity Press.</w:t>
      </w:r>
    </w:p>
    <w:p w:rsidR="004D3EFD" w:rsidRDefault="00FF2614">
      <w:pPr>
        <w:spacing w:before="20"/>
        <w:ind w:left="720"/>
      </w:pPr>
      <w:r>
        <w:rPr>
          <w:sz w:val="20"/>
          <w:szCs w:val="20"/>
        </w:rPr>
        <w:t xml:space="preserve">Ulianovskii, A., Golubev, V., Filatova, O., &amp; Smirnov, A. (2016). Social Media Impact on the Transformation of Imaginary Political Characters in Russian Youth Culture. </w:t>
      </w:r>
      <w:r>
        <w:rPr>
          <w:i/>
          <w:sz w:val="20"/>
          <w:szCs w:val="20"/>
        </w:rPr>
        <w:t>Digital Transformation and Global Society</w:t>
      </w:r>
      <w:r>
        <w:rPr>
          <w:sz w:val="20"/>
          <w:szCs w:val="20"/>
        </w:rPr>
        <w:t>. Springer International Publis</w:t>
      </w:r>
      <w:r>
        <w:rPr>
          <w:sz w:val="20"/>
          <w:szCs w:val="20"/>
        </w:rPr>
        <w:t xml:space="preserve">hing. pp. 35-44 </w:t>
      </w:r>
    </w:p>
    <w:p w:rsidR="004D3EFD" w:rsidRDefault="004D3EFD">
      <w:pPr>
        <w:spacing w:before="20"/>
      </w:pPr>
    </w:p>
    <w:p w:rsidR="004D3EFD" w:rsidRDefault="00FF2614">
      <w:pPr>
        <w:numPr>
          <w:ilvl w:val="0"/>
          <w:numId w:val="2"/>
        </w:numPr>
        <w:spacing w:before="20"/>
        <w:ind w:hanging="360"/>
        <w:rPr>
          <w:sz w:val="20"/>
          <w:szCs w:val="20"/>
        </w:rPr>
      </w:pPr>
      <w:r>
        <w:rPr>
          <w:b/>
          <w:sz w:val="20"/>
          <w:szCs w:val="20"/>
        </w:rPr>
        <w:t>Who is audience? Practices of media usage and consumption</w:t>
      </w:r>
    </w:p>
    <w:p w:rsidR="004D3EFD" w:rsidRDefault="004D3EFD">
      <w:pPr>
        <w:spacing w:before="20"/>
        <w:rPr>
          <w:b/>
          <w:sz w:val="20"/>
          <w:szCs w:val="20"/>
        </w:rPr>
      </w:pPr>
    </w:p>
    <w:p w:rsidR="004D3EFD" w:rsidRDefault="00FF2614">
      <w:pPr>
        <w:spacing w:before="20"/>
        <w:rPr>
          <w:sz w:val="20"/>
          <w:szCs w:val="20"/>
        </w:rPr>
      </w:pPr>
      <w:r>
        <w:rPr>
          <w:sz w:val="20"/>
          <w:szCs w:val="20"/>
        </w:rPr>
        <w:t xml:space="preserve">Media usage. Media consumption. Practices of media usage/consumption in Russia. </w:t>
      </w:r>
    </w:p>
    <w:p w:rsidR="004D3EFD" w:rsidRDefault="00FF2614">
      <w:pPr>
        <w:spacing w:before="20"/>
        <w:rPr>
          <w:sz w:val="20"/>
          <w:szCs w:val="20"/>
        </w:rPr>
      </w:pPr>
      <w:r>
        <w:rPr>
          <w:sz w:val="20"/>
          <w:szCs w:val="20"/>
        </w:rPr>
        <w:t>Media in everyday life in cities and villages.“Depressive” media consumption.</w:t>
      </w:r>
    </w:p>
    <w:p w:rsidR="004D3EFD" w:rsidRDefault="00FF2614">
      <w:pPr>
        <w:spacing w:before="20"/>
        <w:rPr>
          <w:sz w:val="20"/>
          <w:szCs w:val="20"/>
        </w:rPr>
      </w:pPr>
      <w:r>
        <w:rPr>
          <w:sz w:val="20"/>
          <w:szCs w:val="20"/>
        </w:rPr>
        <w:t>Pseudo nostalgia for USSR, aesthetization of despair and ruins.</w:t>
      </w:r>
    </w:p>
    <w:p w:rsidR="004D3EFD" w:rsidRDefault="004D3EFD">
      <w:pPr>
        <w:spacing w:before="20"/>
        <w:rPr>
          <w:sz w:val="20"/>
          <w:szCs w:val="20"/>
        </w:rPr>
      </w:pPr>
    </w:p>
    <w:p w:rsidR="004D3EFD" w:rsidRDefault="00FF2614">
      <w:pPr>
        <w:spacing w:before="20"/>
        <w:rPr>
          <w:sz w:val="20"/>
          <w:szCs w:val="20"/>
        </w:rPr>
      </w:pPr>
      <w:r>
        <w:rPr>
          <w:sz w:val="20"/>
          <w:szCs w:val="20"/>
        </w:rPr>
        <w:t>Michel de Certeau (1984).</w:t>
      </w:r>
      <w:r>
        <w:rPr>
          <w:i/>
          <w:sz w:val="20"/>
          <w:szCs w:val="20"/>
        </w:rPr>
        <w:t xml:space="preserve"> The Practice of Everyday Life.</w:t>
      </w:r>
      <w:r>
        <w:rPr>
          <w:sz w:val="20"/>
          <w:szCs w:val="20"/>
        </w:rPr>
        <w:t xml:space="preserve"> Translated by Steven Rendall. University of California Press. </w:t>
      </w:r>
    </w:p>
    <w:p w:rsidR="004D3EFD" w:rsidRDefault="00FF2614">
      <w:pPr>
        <w:spacing w:before="20"/>
        <w:rPr>
          <w:color w:val="222222"/>
          <w:sz w:val="20"/>
          <w:szCs w:val="20"/>
          <w:highlight w:val="white"/>
        </w:rPr>
      </w:pPr>
      <w:r>
        <w:rPr>
          <w:color w:val="222222"/>
          <w:sz w:val="20"/>
          <w:szCs w:val="20"/>
          <w:highlight w:val="white"/>
        </w:rPr>
        <w:t>Velikonja, M. (2009). Lost in transition: Nostalgia for socialism in po</w:t>
      </w:r>
      <w:r>
        <w:rPr>
          <w:color w:val="222222"/>
          <w:sz w:val="20"/>
          <w:szCs w:val="20"/>
          <w:highlight w:val="white"/>
        </w:rPr>
        <w:t xml:space="preserve">st-socialist countries. </w:t>
      </w:r>
      <w:r>
        <w:rPr>
          <w:i/>
          <w:color w:val="222222"/>
          <w:sz w:val="20"/>
          <w:szCs w:val="20"/>
          <w:highlight w:val="white"/>
        </w:rPr>
        <w:t>East European Politics and Societies</w:t>
      </w:r>
      <w:r>
        <w:rPr>
          <w:color w:val="222222"/>
          <w:sz w:val="20"/>
          <w:szCs w:val="20"/>
          <w:highlight w:val="white"/>
        </w:rPr>
        <w:t xml:space="preserve">, </w:t>
      </w:r>
      <w:r>
        <w:rPr>
          <w:i/>
          <w:color w:val="222222"/>
          <w:sz w:val="20"/>
          <w:szCs w:val="20"/>
          <w:highlight w:val="white"/>
        </w:rPr>
        <w:t>23</w:t>
      </w:r>
      <w:r>
        <w:rPr>
          <w:color w:val="222222"/>
          <w:sz w:val="20"/>
          <w:szCs w:val="20"/>
          <w:highlight w:val="white"/>
        </w:rPr>
        <w:t>(4), 535-551.</w:t>
      </w:r>
    </w:p>
    <w:p w:rsidR="004D3EFD" w:rsidRDefault="00FF2614">
      <w:pPr>
        <w:spacing w:before="20"/>
        <w:rPr>
          <w:color w:val="222222"/>
          <w:sz w:val="20"/>
          <w:szCs w:val="20"/>
          <w:highlight w:val="white"/>
        </w:rPr>
      </w:pPr>
      <w:r>
        <w:rPr>
          <w:color w:val="222222"/>
          <w:sz w:val="20"/>
          <w:szCs w:val="20"/>
          <w:highlight w:val="white"/>
        </w:rPr>
        <w:t xml:space="preserve">Hutchings, S., &amp; Miazhevich, G. (2010). Television, nation building and the everyday in Contemporary Russia. </w:t>
      </w:r>
      <w:r>
        <w:rPr>
          <w:i/>
          <w:color w:val="222222"/>
          <w:sz w:val="20"/>
          <w:szCs w:val="20"/>
          <w:highlight w:val="white"/>
        </w:rPr>
        <w:t>Russian Journal of Communication</w:t>
      </w:r>
      <w:r>
        <w:rPr>
          <w:color w:val="222222"/>
          <w:sz w:val="20"/>
          <w:szCs w:val="20"/>
          <w:highlight w:val="white"/>
        </w:rPr>
        <w:t xml:space="preserve">, </w:t>
      </w:r>
      <w:r>
        <w:rPr>
          <w:i/>
          <w:color w:val="222222"/>
          <w:sz w:val="20"/>
          <w:szCs w:val="20"/>
          <w:highlight w:val="white"/>
        </w:rPr>
        <w:t>3</w:t>
      </w:r>
      <w:r>
        <w:rPr>
          <w:color w:val="222222"/>
          <w:sz w:val="20"/>
          <w:szCs w:val="20"/>
          <w:highlight w:val="white"/>
        </w:rPr>
        <w:t>(3-4), 173-184.</w:t>
      </w:r>
    </w:p>
    <w:p w:rsidR="004D3EFD" w:rsidRDefault="00FF2614">
      <w:pPr>
        <w:spacing w:before="20"/>
        <w:rPr>
          <w:color w:val="222222"/>
          <w:sz w:val="20"/>
          <w:szCs w:val="20"/>
          <w:highlight w:val="white"/>
        </w:rPr>
      </w:pPr>
      <w:r>
        <w:rPr>
          <w:color w:val="222222"/>
          <w:sz w:val="20"/>
          <w:szCs w:val="20"/>
          <w:highlight w:val="white"/>
        </w:rPr>
        <w:t xml:space="preserve">Wickström, D. E., </w:t>
      </w:r>
      <w:r>
        <w:rPr>
          <w:color w:val="222222"/>
          <w:sz w:val="20"/>
          <w:szCs w:val="20"/>
          <w:highlight w:val="white"/>
        </w:rPr>
        <w:t xml:space="preserve">&amp; Steinholt, Y. B. (2009). Visions of the (holy) motherland in contemporary Russian popular music: nostalgia, patriotism, religion and Russkii rok. </w:t>
      </w:r>
      <w:r>
        <w:rPr>
          <w:i/>
          <w:color w:val="222222"/>
          <w:sz w:val="20"/>
          <w:szCs w:val="20"/>
          <w:highlight w:val="white"/>
        </w:rPr>
        <w:t>Popular Music and Society</w:t>
      </w:r>
      <w:r>
        <w:rPr>
          <w:color w:val="222222"/>
          <w:sz w:val="20"/>
          <w:szCs w:val="20"/>
          <w:highlight w:val="white"/>
        </w:rPr>
        <w:t xml:space="preserve">, </w:t>
      </w:r>
      <w:r>
        <w:rPr>
          <w:i/>
          <w:color w:val="222222"/>
          <w:sz w:val="20"/>
          <w:szCs w:val="20"/>
          <w:highlight w:val="white"/>
        </w:rPr>
        <w:t>32</w:t>
      </w:r>
      <w:r>
        <w:rPr>
          <w:color w:val="222222"/>
          <w:sz w:val="20"/>
          <w:szCs w:val="20"/>
          <w:highlight w:val="white"/>
        </w:rPr>
        <w:t>(3), 313-330.</w:t>
      </w:r>
    </w:p>
    <w:p w:rsidR="004D3EFD" w:rsidRDefault="00FF2614">
      <w:pPr>
        <w:spacing w:before="20"/>
        <w:rPr>
          <w:color w:val="222222"/>
          <w:sz w:val="20"/>
          <w:szCs w:val="20"/>
          <w:highlight w:val="white"/>
        </w:rPr>
      </w:pPr>
      <w:r>
        <w:rPr>
          <w:color w:val="222222"/>
          <w:sz w:val="20"/>
          <w:szCs w:val="20"/>
          <w:highlight w:val="white"/>
        </w:rPr>
        <w:t>Khazanov, A. M. (2008). Whom to mourn and whom to forget?(Re) con</w:t>
      </w:r>
      <w:r>
        <w:rPr>
          <w:color w:val="222222"/>
          <w:sz w:val="20"/>
          <w:szCs w:val="20"/>
          <w:highlight w:val="white"/>
        </w:rPr>
        <w:t xml:space="preserve">structing collective memory in contemporary Russia. </w:t>
      </w:r>
      <w:r>
        <w:rPr>
          <w:i/>
          <w:color w:val="222222"/>
          <w:sz w:val="20"/>
          <w:szCs w:val="20"/>
          <w:highlight w:val="white"/>
        </w:rPr>
        <w:t>Totalitarian Movements and Political Religions</w:t>
      </w:r>
      <w:r>
        <w:rPr>
          <w:color w:val="222222"/>
          <w:sz w:val="20"/>
          <w:szCs w:val="20"/>
          <w:highlight w:val="white"/>
        </w:rPr>
        <w:t xml:space="preserve">, </w:t>
      </w:r>
      <w:r>
        <w:rPr>
          <w:i/>
          <w:color w:val="222222"/>
          <w:sz w:val="20"/>
          <w:szCs w:val="20"/>
          <w:highlight w:val="white"/>
        </w:rPr>
        <w:t>9</w:t>
      </w:r>
      <w:r>
        <w:rPr>
          <w:color w:val="222222"/>
          <w:sz w:val="20"/>
          <w:szCs w:val="20"/>
          <w:highlight w:val="white"/>
        </w:rPr>
        <w:t>(2-3), 293-310.</w:t>
      </w:r>
    </w:p>
    <w:p w:rsidR="004D3EFD" w:rsidRDefault="004D3EFD">
      <w:pPr>
        <w:spacing w:before="20"/>
      </w:pPr>
    </w:p>
    <w:p w:rsidR="004D3EFD" w:rsidRDefault="00FF2614">
      <w:pPr>
        <w:spacing w:before="20"/>
        <w:ind w:firstLine="720"/>
      </w:pPr>
      <w:r>
        <w:rPr>
          <w:b/>
          <w:color w:val="222222"/>
          <w:sz w:val="20"/>
          <w:szCs w:val="20"/>
          <w:highlight w:val="white"/>
        </w:rPr>
        <w:t>Seminars</w:t>
      </w:r>
    </w:p>
    <w:p w:rsidR="004D3EFD" w:rsidRDefault="00FF2614">
      <w:pPr>
        <w:spacing w:before="20"/>
        <w:ind w:firstLine="720"/>
      </w:pPr>
      <w:r>
        <w:rPr>
          <w:color w:val="222222"/>
          <w:sz w:val="20"/>
          <w:szCs w:val="20"/>
          <w:highlight w:val="white"/>
        </w:rPr>
        <w:t xml:space="preserve">During seminars students will go deeper into the topics discussed at the lectures. For instance characteristics of Russian media </w:t>
      </w:r>
      <w:r>
        <w:rPr>
          <w:color w:val="222222"/>
          <w:sz w:val="20"/>
          <w:szCs w:val="20"/>
          <w:highlight w:val="white"/>
        </w:rPr>
        <w:t xml:space="preserve">market will be analyzed in comparison to media markets of other countries. Special attention will be given to reading and discussion of the relevant articles and texts. </w:t>
      </w:r>
    </w:p>
    <w:p w:rsidR="004D3EFD" w:rsidRDefault="004D3EFD">
      <w:pPr>
        <w:spacing w:before="20"/>
        <w:ind w:firstLine="720"/>
      </w:pPr>
    </w:p>
    <w:p w:rsidR="004D3EFD" w:rsidRDefault="00FF2614">
      <w:pPr>
        <w:spacing w:before="20"/>
        <w:ind w:firstLine="720"/>
      </w:pPr>
      <w:r>
        <w:rPr>
          <w:b/>
          <w:color w:val="222222"/>
          <w:sz w:val="20"/>
          <w:szCs w:val="20"/>
          <w:highlight w:val="white"/>
        </w:rPr>
        <w:t>Research project</w:t>
      </w:r>
    </w:p>
    <w:p w:rsidR="004D3EFD" w:rsidRDefault="00FF2614">
      <w:pPr>
        <w:spacing w:before="20"/>
        <w:ind w:firstLine="720"/>
        <w:rPr>
          <w:color w:val="222222"/>
          <w:sz w:val="20"/>
          <w:szCs w:val="20"/>
          <w:highlight w:val="white"/>
        </w:rPr>
      </w:pPr>
      <w:r>
        <w:rPr>
          <w:color w:val="222222"/>
          <w:sz w:val="20"/>
          <w:szCs w:val="20"/>
          <w:highlight w:val="white"/>
        </w:rPr>
        <w:t>During the course the students will work on their own group or indiv</w:t>
      </w:r>
      <w:r>
        <w:rPr>
          <w:color w:val="222222"/>
          <w:sz w:val="20"/>
          <w:szCs w:val="20"/>
          <w:highlight w:val="white"/>
        </w:rPr>
        <w:t>idual research projects concerning Russian media market. Within the project they are to choose one segment of the media market (for instance print media or radio or whatever) and focus on one aspect (social, political, cultural, technological etc.). Studen</w:t>
      </w:r>
      <w:r>
        <w:rPr>
          <w:color w:val="222222"/>
          <w:sz w:val="20"/>
          <w:szCs w:val="20"/>
          <w:highlight w:val="white"/>
        </w:rPr>
        <w:t>ts are to formulate research question that fulfill these two criteria. Research are to be finished  by the end of the course and presented by the author(s). Presentations of the projects will be held at the last seminar that will be organized as open event</w:t>
      </w:r>
      <w:r>
        <w:rPr>
          <w:color w:val="222222"/>
          <w:sz w:val="20"/>
          <w:szCs w:val="20"/>
          <w:highlight w:val="white"/>
        </w:rPr>
        <w:t xml:space="preserve">. </w:t>
      </w:r>
    </w:p>
    <w:p w:rsidR="004D3EFD" w:rsidRDefault="004D3EFD">
      <w:pPr>
        <w:spacing w:before="20"/>
        <w:rPr>
          <w:color w:val="222222"/>
          <w:sz w:val="20"/>
          <w:szCs w:val="20"/>
          <w:highlight w:val="white"/>
        </w:rPr>
      </w:pPr>
    </w:p>
    <w:sectPr w:rsidR="004D3EFD">
      <w:pgSz w:w="11909" w:h="16834"/>
      <w:pgMar w:top="1134" w:right="1440" w:bottom="113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AF3"/>
    <w:multiLevelType w:val="multilevel"/>
    <w:tmpl w:val="EB5E2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A6A4501"/>
    <w:multiLevelType w:val="multilevel"/>
    <w:tmpl w:val="0706BD14"/>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FD"/>
    <w:rsid w:val="004D3EFD"/>
    <w:rsid w:val="00FF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3EA56A1D-42CA-4F09-9F72-DA6A2C42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Литовинская Яна Александровна</dc:creator>
  <cp:lastModifiedBy>Литовинская Яна Александровна</cp:lastModifiedBy>
  <cp:revision>2</cp:revision>
  <dcterms:created xsi:type="dcterms:W3CDTF">2018-02-26T09:45:00Z</dcterms:created>
  <dcterms:modified xsi:type="dcterms:W3CDTF">2018-02-26T09:45:00Z</dcterms:modified>
</cp:coreProperties>
</file>