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CA1A" w14:textId="0DB29087" w:rsidR="006C5EE8" w:rsidRPr="00792503" w:rsidRDefault="009D1738" w:rsidP="009D173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503">
        <w:rPr>
          <w:rFonts w:ascii="Times New Roman" w:hAnsi="Times New Roman" w:cs="Times New Roman"/>
          <w:b/>
          <w:bCs/>
          <w:sz w:val="28"/>
          <w:szCs w:val="28"/>
        </w:rPr>
        <w:t>Политическая антропология</w:t>
      </w:r>
    </w:p>
    <w:p w14:paraId="165F43EB" w14:textId="2A7536D5" w:rsidR="009D1738" w:rsidRPr="009D1738" w:rsidRDefault="009D1738" w:rsidP="009D17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738">
        <w:rPr>
          <w:rFonts w:ascii="Times New Roman" w:hAnsi="Times New Roman" w:cs="Times New Roman"/>
          <w:sz w:val="28"/>
          <w:szCs w:val="28"/>
        </w:rPr>
        <w:t>Аннотация</w:t>
      </w:r>
    </w:p>
    <w:p w14:paraId="6DC54A7D" w14:textId="44C797B1" w:rsidR="009D1738" w:rsidRPr="009D1738" w:rsidRDefault="009D1738" w:rsidP="009D17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134BED" w14:textId="085518AA" w:rsidR="009D1738" w:rsidRPr="009D1738" w:rsidRDefault="009D1738" w:rsidP="009D17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738">
        <w:rPr>
          <w:rFonts w:ascii="Times New Roman" w:hAnsi="Times New Roman" w:cs="Times New Roman"/>
          <w:sz w:val="28"/>
          <w:szCs w:val="28"/>
        </w:rPr>
        <w:t xml:space="preserve">Политическая антропология – раздел антропологии, выделившийся в самостоятельную </w:t>
      </w:r>
      <w:proofErr w:type="spellStart"/>
      <w:r w:rsidRPr="009D1738">
        <w:rPr>
          <w:rFonts w:ascii="Times New Roman" w:hAnsi="Times New Roman" w:cs="Times New Roman"/>
          <w:sz w:val="28"/>
          <w:szCs w:val="28"/>
        </w:rPr>
        <w:t>субдисциплину</w:t>
      </w:r>
      <w:proofErr w:type="spellEnd"/>
      <w:r w:rsidRPr="009D1738">
        <w:rPr>
          <w:rFonts w:ascii="Times New Roman" w:hAnsi="Times New Roman" w:cs="Times New Roman"/>
          <w:sz w:val="28"/>
          <w:szCs w:val="28"/>
        </w:rPr>
        <w:t xml:space="preserve"> в 1940-е годы. В то же время политическая антропология может рассматриваться как историческая и культурная политология. Курс позволяет студентам глубже понять суть политического процесса в общем контексте человеческой культуры и ее эволюции. Его содержание охватывает широкий круг вопросов, связанных со своеобразием взаимоотношений между человеком, обществом и властью во все периоды истории, от первобытности до наших дней, в различных культурно-цивилизационных контекстах. Это своеобразие определяется сложившейся в конкретном обществе политической культурой, которая, в свою очередь, определяет ответы на вопросы: считают ли люди, что власть необходима; если да, то в каких формах она необходима и почему; что входит в обязанности власти перед людьми и людей перед властью; какие исторические предпосылки привели к формированию именно такой совокупности мнений в каждом конкретном случае.</w:t>
      </w:r>
    </w:p>
    <w:sectPr w:rsidR="009D1738" w:rsidRPr="009D1738" w:rsidSect="00C23E9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38"/>
    <w:rsid w:val="00040B5E"/>
    <w:rsid w:val="00394869"/>
    <w:rsid w:val="00792503"/>
    <w:rsid w:val="009D1738"/>
    <w:rsid w:val="00A31B52"/>
    <w:rsid w:val="00AE1403"/>
    <w:rsid w:val="00C2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E23EB"/>
  <w15:chartTrackingRefBased/>
  <w15:docId w15:val="{54338B6D-1EF1-FA4B-B564-0364319D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Мария Дмитриевна</dc:creator>
  <cp:keywords/>
  <dc:description/>
  <cp:lastModifiedBy>Аксенова Мария Дмитриевна</cp:lastModifiedBy>
  <cp:revision>2</cp:revision>
  <dcterms:created xsi:type="dcterms:W3CDTF">2022-03-17T15:42:00Z</dcterms:created>
  <dcterms:modified xsi:type="dcterms:W3CDTF">2022-03-17T15:44:00Z</dcterms:modified>
</cp:coreProperties>
</file>