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27" w:rsidRPr="006A47C1" w:rsidRDefault="00C42A27" w:rsidP="006A47C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/>
        </w:rPr>
        <w:t>Course descriptor</w:t>
      </w:r>
    </w:p>
    <w:p w:rsidR="00C42A27" w:rsidRDefault="00C42A27" w:rsidP="00C42A2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</w:p>
    <w:tbl>
      <w:tblPr>
        <w:tblW w:w="978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268"/>
        <w:gridCol w:w="2410"/>
        <w:gridCol w:w="2552"/>
      </w:tblGrid>
      <w:tr w:rsidR="00C42A27" w:rsidRPr="006A47C1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42A27" w:rsidRDefault="00B03C71" w:rsidP="00B03C7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Title of the Minor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A27" w:rsidRDefault="002265C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Communication in Business</w:t>
            </w:r>
          </w:p>
        </w:tc>
      </w:tr>
      <w:tr w:rsidR="00C42A27" w:rsidRPr="00EA401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03C71" w:rsidRDefault="00B03C7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Title of the course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2A27" w:rsidRPr="004642EF" w:rsidRDefault="002265C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4642E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New media and Communication in Business</w:t>
            </w:r>
          </w:p>
        </w:tc>
      </w:tr>
      <w:tr w:rsidR="00C42A27" w:rsidRPr="006A47C1" w:rsidTr="00644510">
        <w:trPr>
          <w:trHeight w:val="23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Prerequisites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A27" w:rsidRPr="004642EF" w:rsidRDefault="004642EF" w:rsidP="006A47C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No</w:t>
            </w:r>
          </w:p>
        </w:tc>
      </w:tr>
      <w:tr w:rsidR="00C42A27" w:rsidRPr="00C42A27" w:rsidTr="00644510">
        <w:trPr>
          <w:trHeight w:val="23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ECTS</w:t>
            </w:r>
            <w:r w:rsidR="00D8544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workload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A27" w:rsidRDefault="00B03C7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42A27" w:rsidTr="00644510">
        <w:trPr>
          <w:trHeight w:val="217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904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Total indicative study hours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Directed Study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Self-directed study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Total</w:t>
            </w:r>
          </w:p>
        </w:tc>
      </w:tr>
      <w:tr w:rsidR="00C42A27" w:rsidTr="00644510">
        <w:trPr>
          <w:trHeight w:val="216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A27" w:rsidRDefault="002265C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27" w:rsidRPr="004642EF" w:rsidRDefault="004642E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27" w:rsidRDefault="003971DA" w:rsidP="000547E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C42A27" w:rsidRPr="00EA401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42A27" w:rsidRDefault="00C42A27" w:rsidP="00CD476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Intended Learning Outcomes</w:t>
            </w:r>
            <w:r w:rsidR="00D4693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47C1" w:rsidRDefault="003971DA" w:rsidP="006A47C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3971D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The course is designed to </w:t>
            </w:r>
            <w:r w:rsidR="007076A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provide students with theoretical </w:t>
            </w:r>
            <w:r w:rsidR="002612E3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knowledge and</w:t>
            </w:r>
            <w:r w:rsidR="007076A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practice-based experience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giv</w:t>
            </w:r>
            <w:r w:rsidR="007076A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ing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insights into new media development trends</w:t>
            </w:r>
            <w:r w:rsidR="007076A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, their role in society and impact they produce, and how to efficiently manage them as business tools within an organization</w:t>
            </w:r>
            <w:r w:rsidR="00FC43A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  <w:r w:rsidR="006A47C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0547E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Expected learning outcomes are as follows:</w:t>
            </w:r>
          </w:p>
          <w:p w:rsidR="004642EF" w:rsidRDefault="007A3B83" w:rsidP="004642EF">
            <w:pPr>
              <w:pStyle w:val="a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understanding</w:t>
            </w:r>
            <w:r w:rsidR="000547E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the whole picture of new media types and </w:t>
            </w:r>
            <w:r w:rsidR="004642EF" w:rsidRP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specifics of the new media language, meanings and messages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;</w:t>
            </w:r>
          </w:p>
          <w:p w:rsidR="004642EF" w:rsidRPr="004642EF" w:rsidRDefault="004642EF" w:rsidP="004642EF">
            <w:pPr>
              <w:pStyle w:val="a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understanding core principles and features of content marketing;</w:t>
            </w:r>
          </w:p>
          <w:p w:rsidR="00651C79" w:rsidRDefault="00651C79" w:rsidP="000547E1">
            <w:pPr>
              <w:pStyle w:val="a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explaining sharing economy and its opportunities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;</w:t>
            </w:r>
          </w:p>
          <w:p w:rsidR="000547E1" w:rsidRDefault="000547E1" w:rsidP="000547E1">
            <w:pPr>
              <w:pStyle w:val="a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547E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evaluating and comparing performance of new media </w:t>
            </w:r>
            <w:proofErr w:type="spellStart"/>
            <w:r w:rsidRPr="000547E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vs</w:t>
            </w:r>
            <w:proofErr w:type="spellEnd"/>
            <w:r w:rsidRPr="000547E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traditional ones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;</w:t>
            </w:r>
          </w:p>
          <w:p w:rsidR="007A3B83" w:rsidRPr="00224301" w:rsidRDefault="00B102E1" w:rsidP="00224301">
            <w:pPr>
              <w:pStyle w:val="a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practicing 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use of new media for business purposes:</w:t>
            </w:r>
          </w:p>
          <w:p w:rsidR="00B102E1" w:rsidRDefault="00B102E1" w:rsidP="00B102E1">
            <w:pPr>
              <w:pStyle w:val="a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developing </w:t>
            </w:r>
            <w:r w:rsidR="0022430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organizational strategies, managing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content, </w:t>
            </w:r>
            <w:r w:rsidRPr="00B102E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creating surveys in new media </w:t>
            </w:r>
          </w:p>
          <w:p w:rsidR="00B102E1" w:rsidRDefault="00B102E1" w:rsidP="00B102E1">
            <w:pPr>
              <w:pStyle w:val="a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generating web traffic to a new media source</w:t>
            </w:r>
          </w:p>
          <w:p w:rsidR="00C42A27" w:rsidRPr="00B102E1" w:rsidRDefault="00B102E1" w:rsidP="00B102E1">
            <w:pPr>
              <w:pStyle w:val="a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102E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analyzing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performance and </w:t>
            </w:r>
            <w:r w:rsidR="0022430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audience involvement</w:t>
            </w:r>
          </w:p>
        </w:tc>
      </w:tr>
      <w:tr w:rsidR="00613DCA" w:rsidRPr="00EA401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3DCA" w:rsidRDefault="00613DC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Indicative Course Content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181D" w:rsidRPr="005F5E1C" w:rsidRDefault="0077181D" w:rsidP="0077181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5F5E1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1 </w:t>
            </w:r>
            <w:r w:rsidRPr="005F5E1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Importance of media literacy</w:t>
            </w:r>
            <w:r w:rsidR="000A6D07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33AC2" w:rsidRDefault="00635396" w:rsidP="007718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The social role of media / Media production and consumption / Major concerns</w:t>
            </w:r>
            <w:r w:rsidR="0077181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: participation gap and digital divide; transparency and content credibility; the ethics challenge and core concerns / Importance of critical thinking when using social media /</w:t>
            </w:r>
            <w:r w:rsidR="000A6D0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77181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New skills and competencies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Default="004642EF" w:rsidP="007718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613DCA" w:rsidRPr="00BD2425" w:rsidRDefault="00B03C71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="0077181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2</w:t>
            </w:r>
            <w:r w:rsidR="00CD476A"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A49FD"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Introduction to New Media</w:t>
            </w:r>
            <w:r w:rsidR="000A6D07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45AA4" w:rsidRDefault="007A49FD" w:rsidP="00845A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New media and new technologies / </w:t>
            </w:r>
            <w:r w:rsidR="0077181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Rate of change and continuity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Characteristics of new media: defining concepts</w:t>
            </w:r>
            <w:r w:rsidR="0077181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</w:t>
            </w:r>
            <w:r w:rsidR="00272A6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77181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Principles of new media </w:t>
            </w:r>
            <w:r w:rsidR="00810C7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/ New media versus traditional ones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Pr="00D61F12" w:rsidRDefault="004642EF" w:rsidP="00845A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845AA4" w:rsidRPr="00BD2425" w:rsidRDefault="00845AA4" w:rsidP="00845AA4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="00E8089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</w:t>
            </w: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Networks, Users and Economics</w:t>
            </w:r>
            <w:r w:rsidR="000A6D07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642EF" w:rsidRDefault="00845AA4" w:rsidP="00E8089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Power of Internet / The Internet and the public sphere / Economics and networked media culture / Sharing economy concept and its opportunities / Social forms of new media / Globalization, neo-liberalism and the Internet / Intellectual property rights / New ways to express oneself and relate oneself to a certain community</w:t>
            </w:r>
            <w:r w:rsidR="000A6D0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 Rate of engagement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635396" w:rsidRPr="00635396" w:rsidRDefault="000A6D07" w:rsidP="00E8089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  <w:p w:rsidR="00E8089E" w:rsidRDefault="00E8089E" w:rsidP="00E8089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="0046345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Ne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w media in everyday life</w:t>
            </w:r>
            <w:r w:rsidR="000A6D07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8089E" w:rsidRDefault="00E8089E" w:rsidP="007718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Technological shaping of everyday life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 Social shapin</w:t>
            </w:r>
            <w:r w:rsidR="006353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g and consequences of ICT’s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Theories of media consumption / Issues and questions: meanings and uses / Edutainment as a new trend / New media and identity / The role of video and computer gaming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Pr="00D61F12" w:rsidRDefault="004642EF" w:rsidP="007718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77181D" w:rsidRDefault="0077181D" w:rsidP="0077181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="0046345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5</w:t>
            </w:r>
            <w:r w:rsidR="00E8089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The new media</w:t>
            </w: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language </w:t>
            </w:r>
          </w:p>
          <w:p w:rsidR="00E8089E" w:rsidRDefault="00E8089E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Language</w:t>
            </w:r>
            <w:r w:rsidR="00845AA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E8089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of cultural interfaces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845AA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/ </w:t>
            </w:r>
            <w:r w:rsidR="00606A96" w:rsidRPr="00606A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Human – computer interface </w:t>
            </w:r>
            <w:r w:rsidR="00606A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as a key semiotic code, </w:t>
            </w:r>
            <w:r w:rsidR="00606A96" w:rsidRPr="00606A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influence</w:t>
            </w:r>
            <w:r w:rsidR="00606A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of HCI</w:t>
            </w:r>
            <w:r w:rsidR="00606A96" w:rsidRPr="00606A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on culture</w:t>
            </w:r>
            <w:r w:rsidR="00606A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 Representation </w:t>
            </w:r>
            <w:proofErr w:type="spellStart"/>
            <w:r w:rsidR="008C1F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</w:t>
            </w:r>
            <w:r w:rsidR="00606A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</w:t>
            </w:r>
            <w:proofErr w:type="spellEnd"/>
            <w:r w:rsidR="00606A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control</w:t>
            </w:r>
            <w:r w:rsidR="008C1F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 Representation </w:t>
            </w:r>
            <w:proofErr w:type="spellStart"/>
            <w:r w:rsidR="008C1F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vs</w:t>
            </w:r>
            <w:proofErr w:type="spellEnd"/>
            <w:r w:rsidR="008C1F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simulation / Simulating reality / Illusion, narrative and interactivity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 Messages as the medium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Pr="00D61F12" w:rsidRDefault="004642EF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133AC2" w:rsidRPr="00BD2425" w:rsidRDefault="008C1F9C" w:rsidP="00133AC2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="0046345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6</w:t>
            </w: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33AC2"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Digital Cinema</w:t>
            </w:r>
            <w:r w:rsidR="000A6D07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642EF" w:rsidRDefault="00EF762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What is</w:t>
            </w:r>
            <w:r w:rsidR="00133AC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digital cinema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– core principles</w:t>
            </w:r>
            <w:r w:rsidR="00133AC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New cinematic forms</w:t>
            </w:r>
            <w:r w:rsidR="00133AC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and Semiology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The Cinematic language: </w:t>
            </w:r>
            <w:r w:rsidR="00845AA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Cinematic and Graphics / </w:t>
            </w:r>
            <w:r w:rsidR="00133AC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Audiences and effects / YouTube and </w:t>
            </w:r>
            <w:proofErr w:type="gramStart"/>
            <w:r w:rsidR="00133AC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post</w:t>
            </w:r>
            <w:r w:rsidR="0083332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  <w:proofErr w:type="gramEnd"/>
          </w:p>
          <w:p w:rsidR="0077181D" w:rsidRDefault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  <w:p w:rsidR="00B03C71" w:rsidRPr="00BD2425" w:rsidRDefault="00B03C7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="0046345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7</w:t>
            </w:r>
            <w:r w:rsidR="00272A69"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New Media, Visual and Virtual Culture</w:t>
            </w:r>
            <w:r w:rsidR="000A6D07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A6D07" w:rsidRDefault="00272A69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New visual approach /</w:t>
            </w:r>
            <w:r w:rsidR="00B130B3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Data </w:t>
            </w:r>
            <w:r w:rsidR="005424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mining</w:t>
            </w:r>
            <w:r w:rsidR="00B130B3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and analyzing/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262FF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Graph-based approach /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Infogra</w:t>
            </w:r>
            <w:r w:rsidR="00A96C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ph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ics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A96C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and data visualization /</w:t>
            </w:r>
            <w:r w:rsidR="00B130B3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6353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VR as a new medium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Default="004642EF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635396" w:rsidRPr="00BD2425" w:rsidRDefault="00635396" w:rsidP="0063539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8</w:t>
            </w: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New Media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in Business </w:t>
            </w:r>
          </w:p>
          <w:p w:rsidR="00635396" w:rsidRDefault="000D6619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The importance of new media for business / Core features / New media benefits for business / </w:t>
            </w:r>
            <w:r w:rsidR="00635396" w:rsidRPr="005F4F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Some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</w:t>
            </w:r>
            <w:r w:rsidR="00635396" w:rsidRPr="005F4F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conomics of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</w:t>
            </w:r>
            <w:r w:rsidR="00635396" w:rsidRPr="005F4F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ew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</w:t>
            </w:r>
            <w:r w:rsidR="00635396" w:rsidRPr="005F4F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edia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</w:t>
            </w:r>
            <w:r w:rsidR="00635396" w:rsidRPr="005F4F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ontent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</w:t>
            </w:r>
            <w:r w:rsidR="00635396" w:rsidRPr="005F4F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roduction and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</w:t>
            </w:r>
            <w:r w:rsidR="00635396" w:rsidRPr="005F4F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onsumption </w:t>
            </w:r>
            <w:r w:rsidR="0063539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New business models / The new role of the customer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Pr="00D61F12" w:rsidRDefault="004642EF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E8089E" w:rsidRDefault="006C4474" w:rsidP="00133AC2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="00635396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9</w:t>
            </w:r>
            <w:r w:rsidR="002612E3"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612E3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Content</w:t>
            </w:r>
            <w:r w:rsidR="00E8089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marketing</w:t>
            </w:r>
            <w:r w:rsidR="000A6D07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6C4474" w:rsidRDefault="006C4474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Introduction / </w:t>
            </w:r>
            <w:r w:rsidR="000A6D07" w:rsidRPr="000A6D0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Types of content marketing / Content planning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</w:t>
            </w:r>
            <w:r w:rsidR="000A6D07" w:rsidRPr="000A6D0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voiding possible mistakes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Creating content / Promoting content / Early and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mid metrics</w:t>
            </w:r>
            <w:proofErr w:type="spellEnd"/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Pr="000A6D07" w:rsidRDefault="004642EF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6C4474" w:rsidRDefault="006C4474" w:rsidP="006C4474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="0046345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9</w:t>
            </w: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Social Media </w:t>
            </w:r>
          </w:p>
          <w:p w:rsidR="005F4FC0" w:rsidRDefault="006C4474" w:rsidP="006C44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A6D0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Introduction /</w:t>
            </w:r>
            <w:r w:rsidR="001B0A5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Consuming and producing media /</w:t>
            </w:r>
            <w:r w:rsidRPr="000A6D0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0872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Strong and weak points of social media / </w:t>
            </w:r>
            <w:r w:rsidR="001B0A5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Major concerns: growth of technology, privacy, </w:t>
            </w:r>
            <w:proofErr w:type="spellStart"/>
            <w:r w:rsidR="001B0A5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periphirality</w:t>
            </w:r>
            <w:proofErr w:type="spellEnd"/>
            <w:r w:rsidR="001B0A5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, information overload, work &amp; life balance /</w:t>
            </w:r>
            <w:r w:rsidR="00640C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What social media means for researchers: identification, creation, quality assurance and dissemination of knowledge </w:t>
            </w:r>
            <w:r w:rsidR="005F4F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/ Dealing with posts and comments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Default="004642EF" w:rsidP="006C44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F4FC0" w:rsidRDefault="005F4FC0" w:rsidP="006C44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Pr="0077365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10 Social Media Management and Value Chain</w:t>
            </w:r>
          </w:p>
          <w:p w:rsidR="00833328" w:rsidRDefault="005F4FC0" w:rsidP="006C44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F4F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New Marketing Communication in Social Media / New Value Chain / Social Media in Russia: Its Features and Business Models / S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ocial Media: Impact and Users.</w:t>
            </w:r>
          </w:p>
          <w:p w:rsidR="004642EF" w:rsidRDefault="004642EF" w:rsidP="006C44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773655" w:rsidRDefault="00773655" w:rsidP="0077365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Pr="0077365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Pr="0077365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Social Media Ma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rketing</w:t>
            </w:r>
          </w:p>
          <w:p w:rsidR="00773655" w:rsidRDefault="00773655" w:rsidP="0083332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Social media and customer engagement / Running a social business / </w:t>
            </w:r>
            <w:r w:rsidRPr="000A6D0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Social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technologies and business decisions / M</w:t>
            </w:r>
            <w:r w:rsidRPr="000A6D0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edia strategy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for business</w:t>
            </w:r>
            <w:r w:rsidRPr="000A6D0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Vision and goals / Social media analytics, metrics and measurement / Social media networks / Niche social media sites / Choosing right 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channels / Developing strategy.</w:t>
            </w:r>
          </w:p>
          <w:p w:rsidR="004642EF" w:rsidRPr="00773655" w:rsidRDefault="004642EF" w:rsidP="0083332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833328" w:rsidRDefault="00833328" w:rsidP="0083332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 w:rsidR="0046345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="0077365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2</w:t>
            </w: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Webinars </w:t>
            </w:r>
          </w:p>
          <w:p w:rsidR="000528B7" w:rsidRDefault="00833328" w:rsidP="000528B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Webinars as a tool</w:t>
            </w:r>
            <w:r w:rsidR="00331FB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to target and engage the audience </w:t>
            </w:r>
            <w:r w:rsidR="002612E3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/ Creating</w:t>
            </w:r>
            <w:r w:rsidR="00331FB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the content and identifying speakers / Promoting the webinar / Doing webinars and analyzing performance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Pr="00D61F12" w:rsidRDefault="004642EF" w:rsidP="000528B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0528B7" w:rsidRPr="00D61F12" w:rsidRDefault="000528B7" w:rsidP="00133AC2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="0077365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</w:t>
            </w:r>
            <w:r w:rsidR="0046345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Dealing with Facebook </w:t>
            </w:r>
            <w:r w:rsidR="005F4FC0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and </w:t>
            </w:r>
            <w:proofErr w:type="spellStart"/>
            <w:r w:rsidR="005F4FC0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Instagram</w:t>
            </w:r>
            <w:proofErr w:type="spellEnd"/>
          </w:p>
          <w:p w:rsidR="000528B7" w:rsidRDefault="0042707C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2707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The basics of Facebook / FB insights panel / </w:t>
            </w:r>
            <w:r w:rsidR="000528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Using FB groups for lead generation activity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The</w:t>
            </w:r>
            <w:r w:rsidRPr="0042707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FB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content mix</w:t>
            </w:r>
            <w:r w:rsidRPr="0042707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Scheduling posts / </w:t>
            </w:r>
            <w:r w:rsidR="000528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Page messaging / Call to Action buttons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Moderation</w:t>
            </w:r>
            <w:r w:rsidR="000528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age </w:t>
            </w:r>
            <w:r w:rsidR="000528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and country </w:t>
            </w:r>
            <w:r w:rsidR="000528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 xml:space="preserve">restriction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Creating ad on FB /</w:t>
            </w:r>
            <w:r w:rsidR="000528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FB analytics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5F4F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/ </w:t>
            </w:r>
            <w:r w:rsidR="00DB2AC0" w:rsidRPr="00DB2A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Basics of </w:t>
            </w:r>
            <w:proofErr w:type="spellStart"/>
            <w:r w:rsidR="00DB2AC0" w:rsidRPr="00DB2A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Instagram</w:t>
            </w:r>
            <w:proofErr w:type="spellEnd"/>
            <w:r w:rsidR="00DB2AC0" w:rsidRPr="00DB2A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activities for business / Finding potential </w:t>
            </w:r>
            <w:r w:rsidR="00C3470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customers on </w:t>
            </w:r>
            <w:proofErr w:type="spellStart"/>
            <w:r w:rsidR="00C3470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Instagram</w:t>
            </w:r>
            <w:proofErr w:type="spellEnd"/>
            <w:r w:rsidR="00C3470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activities / Targeting the audience / Creating content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Default="004642EF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2707C" w:rsidRDefault="0008728A" w:rsidP="00133AC2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="0077365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0528B7" w:rsidRPr="0008728A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Blogging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2707C" w:rsidRDefault="000528B7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Benefits of blogging / </w:t>
            </w:r>
            <w:r w:rsidRPr="000528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Which platform to choose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Designing and ideal blog</w:t>
            </w:r>
            <w:r w:rsidRPr="000528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Determining the audience / </w:t>
            </w:r>
            <w:r w:rsidRPr="000528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Content and frequency /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Writing a blog post /</w:t>
            </w:r>
            <w:r w:rsidRPr="000528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0872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Promoting and measuring the blog</w:t>
            </w:r>
            <w:r w:rsidR="00464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4642EF" w:rsidRPr="00D61F12" w:rsidRDefault="004642EF" w:rsidP="00133AC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EA1DA6" w:rsidRDefault="006C4474" w:rsidP="00133AC2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BD242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Topic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="0077365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83332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Web traffic and </w:t>
            </w:r>
            <w:r w:rsidR="00E8089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Web analytics </w:t>
            </w:r>
          </w:p>
          <w:p w:rsidR="00463459" w:rsidRPr="007076A6" w:rsidRDefault="0099684A" w:rsidP="0046345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99684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Introduction /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Information web analytics can provide / Decisions web analytics can help make /  </w:t>
            </w:r>
            <w:r w:rsidRPr="0099684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Understanding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web traffic / </w:t>
            </w:r>
            <w:r w:rsidR="0046345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Google analytics features and benefits / Creating analytical reports / Focusing on KPI</w:t>
            </w:r>
          </w:p>
        </w:tc>
      </w:tr>
      <w:tr w:rsidR="00C42A27" w:rsidRPr="00EA401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Teaching and Learning Methods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F5E1C" w:rsidRPr="00625851" w:rsidRDefault="003971DA" w:rsidP="00640C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The course implies giving insights into analytics as the basis for marketing strategy development, new media resources and practice-based assignments</w:t>
            </w:r>
            <w:r w:rsidR="00C347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discussion panels. 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Case studies </w:t>
            </w:r>
            <w:r w:rsidR="00640C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as</w:t>
            </w:r>
            <w:r w:rsidR="00C347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an integral part 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 studies;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br/>
              <w:t>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urvey 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elaboration and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conducting 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with further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results discussions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="00640C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oing webinars in teams</w:t>
            </w:r>
            <w:r w:rsidR="00640C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40C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creating content, 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generating traffic and leads</w:t>
            </w:r>
            <w:r w:rsidR="00640C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performance results discussions;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br/>
              <w:t>Workshops held by experts;</w:t>
            </w:r>
            <w:r w:rsidR="006258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br/>
              <w:t>Self-directed studies</w:t>
            </w:r>
            <w:r w:rsidR="00D61F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and home assignments</w:t>
            </w:r>
            <w:r w:rsidR="00D61F1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C42A27" w:rsidRPr="00EA401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Indicative Assessment Methods and Strategy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A27" w:rsidRDefault="00CD476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Are given in the Course Syllabus</w:t>
            </w:r>
          </w:p>
        </w:tc>
      </w:tr>
      <w:tr w:rsidR="00C42A27" w:rsidRPr="00EA401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A27" w:rsidRDefault="00360ED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Readings / </w:t>
            </w:r>
            <w:r w:rsidR="00C42A2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Indicative Learning Resources</w:t>
            </w:r>
          </w:p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0C85" w:rsidRPr="00EA4017" w:rsidRDefault="00640C85" w:rsidP="00EA4017">
            <w:pPr>
              <w:pStyle w:val="a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Handbook of Social Media Management: Value Chain and Business Models in Changing Media Markets, Mike </w:t>
            </w:r>
            <w:proofErr w:type="spellStart"/>
            <w:r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Friedrichsen</w:t>
            </w:r>
            <w:proofErr w:type="spellEnd"/>
            <w:r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Wolfgang </w:t>
            </w:r>
            <w:proofErr w:type="spellStart"/>
            <w:r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Mühl-Benninghaus</w:t>
            </w:r>
            <w:proofErr w:type="spellEnd"/>
            <w:r w:rsidR="00EA4017"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0B4FF7" w:rsidRDefault="000B4F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224301" w:rsidRPr="00EA4017" w:rsidRDefault="00224301" w:rsidP="00EA4017">
            <w:pPr>
              <w:pStyle w:val="a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  <w:lang w:val="en-US"/>
              </w:rPr>
            </w:pPr>
            <w:r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Advanced web metrics with </w:t>
            </w:r>
            <w:proofErr w:type="spellStart"/>
            <w:r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Coogle</w:t>
            </w:r>
            <w:proofErr w:type="spellEnd"/>
            <w:r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Analytics, Brian Clifton, 2010</w:t>
            </w:r>
            <w:r w:rsidR="00EA4017"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  <w:p w:rsidR="00EA4017" w:rsidRPr="00EA4017" w:rsidRDefault="00EA4017" w:rsidP="0022430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224301" w:rsidRPr="00EA4017" w:rsidRDefault="00224301" w:rsidP="00EA4017">
            <w:pPr>
              <w:pStyle w:val="a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Digital Marketing Analytics: making sense of consumer data in a digital world, </w:t>
            </w:r>
            <w:proofErr w:type="spellStart"/>
            <w:r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Hemann</w:t>
            </w:r>
            <w:proofErr w:type="spellEnd"/>
            <w:r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C., 2013</w:t>
            </w:r>
            <w:r w:rsidR="00EA4017" w:rsidRPr="00EA40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  <w:p w:rsidR="00651C79" w:rsidRPr="00B130B3" w:rsidRDefault="00651C79" w:rsidP="002532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C42A2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Course Instructor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2A27" w:rsidRDefault="00D61F12" w:rsidP="000B4F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Vrublevskaya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Maria</w:t>
            </w:r>
            <w:r w:rsidR="000B4FF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visiting experts</w:t>
            </w:r>
          </w:p>
        </w:tc>
      </w:tr>
    </w:tbl>
    <w:p w:rsidR="00D4693C" w:rsidRPr="00D4693C" w:rsidRDefault="00D4693C" w:rsidP="00D4693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sectPr w:rsidR="00D4693C" w:rsidRPr="00D4693C" w:rsidSect="007A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49" w:rsidRDefault="00903E49" w:rsidP="00F31F02">
      <w:pPr>
        <w:spacing w:after="0" w:line="240" w:lineRule="auto"/>
      </w:pPr>
      <w:r>
        <w:separator/>
      </w:r>
    </w:p>
  </w:endnote>
  <w:endnote w:type="continuationSeparator" w:id="0">
    <w:p w:rsidR="00903E49" w:rsidRDefault="00903E49" w:rsidP="00F3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49" w:rsidRDefault="00903E49" w:rsidP="00F31F02">
      <w:pPr>
        <w:spacing w:after="0" w:line="240" w:lineRule="auto"/>
      </w:pPr>
      <w:r>
        <w:separator/>
      </w:r>
    </w:p>
  </w:footnote>
  <w:footnote w:type="continuationSeparator" w:id="0">
    <w:p w:rsidR="00903E49" w:rsidRDefault="00903E49" w:rsidP="00F31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04B"/>
    <w:multiLevelType w:val="hybridMultilevel"/>
    <w:tmpl w:val="5D98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A0EA4"/>
    <w:multiLevelType w:val="hybridMultilevel"/>
    <w:tmpl w:val="465E05EA"/>
    <w:lvl w:ilvl="0" w:tplc="F8266C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F3301"/>
    <w:multiLevelType w:val="multilevel"/>
    <w:tmpl w:val="53FC7304"/>
    <w:lvl w:ilvl="0">
      <w:start w:val="1"/>
      <w:numFmt w:val="decimal"/>
      <w:pStyle w:val="1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78" w:hanging="360"/>
      </w:pPr>
    </w:lvl>
    <w:lvl w:ilvl="2">
      <w:start w:val="1"/>
      <w:numFmt w:val="decimal"/>
      <w:isLgl/>
      <w:lvlText w:val="%1.%2.%3"/>
      <w:lvlJc w:val="left"/>
      <w:pPr>
        <w:ind w:left="2487" w:hanging="720"/>
      </w:pPr>
    </w:lvl>
    <w:lvl w:ilvl="3">
      <w:start w:val="1"/>
      <w:numFmt w:val="decimal"/>
      <w:isLgl/>
      <w:lvlText w:val="%1.%2.%3.%4"/>
      <w:lvlJc w:val="left"/>
      <w:pPr>
        <w:ind w:left="2836" w:hanging="720"/>
      </w:pPr>
    </w:lvl>
    <w:lvl w:ilvl="4">
      <w:start w:val="1"/>
      <w:numFmt w:val="decimal"/>
      <w:isLgl/>
      <w:lvlText w:val="%1.%2.%3.%4.%5"/>
      <w:lvlJc w:val="left"/>
      <w:pPr>
        <w:ind w:left="3545" w:hanging="1080"/>
      </w:pPr>
    </w:lvl>
    <w:lvl w:ilvl="5">
      <w:start w:val="1"/>
      <w:numFmt w:val="decimal"/>
      <w:isLgl/>
      <w:lvlText w:val="%1.%2.%3.%4.%5.%6"/>
      <w:lvlJc w:val="left"/>
      <w:pPr>
        <w:ind w:left="3894" w:hanging="1080"/>
      </w:pPr>
    </w:lvl>
    <w:lvl w:ilvl="6">
      <w:start w:val="1"/>
      <w:numFmt w:val="decimal"/>
      <w:isLgl/>
      <w:lvlText w:val="%1.%2.%3.%4.%5.%6.%7"/>
      <w:lvlJc w:val="left"/>
      <w:pPr>
        <w:ind w:left="4603" w:hanging="1440"/>
      </w:p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</w:lvl>
    <w:lvl w:ilvl="8">
      <w:start w:val="1"/>
      <w:numFmt w:val="decimal"/>
      <w:isLgl/>
      <w:lvlText w:val="%1.%2.%3.%4.%5.%6.%7.%8.%9"/>
      <w:lvlJc w:val="left"/>
      <w:pPr>
        <w:ind w:left="5661" w:hanging="1800"/>
      </w:pPr>
    </w:lvl>
  </w:abstractNum>
  <w:abstractNum w:abstractNumId="3">
    <w:nsid w:val="7B733D54"/>
    <w:multiLevelType w:val="hybridMultilevel"/>
    <w:tmpl w:val="7B5C1052"/>
    <w:lvl w:ilvl="0" w:tplc="80B2A0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90A03"/>
    <w:multiLevelType w:val="hybridMultilevel"/>
    <w:tmpl w:val="A0FEE14E"/>
    <w:lvl w:ilvl="0" w:tplc="4D6A6B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27"/>
    <w:rsid w:val="00016FD6"/>
    <w:rsid w:val="000528B7"/>
    <w:rsid w:val="000547E1"/>
    <w:rsid w:val="000665C7"/>
    <w:rsid w:val="00075C56"/>
    <w:rsid w:val="0008728A"/>
    <w:rsid w:val="000913D3"/>
    <w:rsid w:val="000A6D07"/>
    <w:rsid w:val="000B4FF7"/>
    <w:rsid w:val="000D6619"/>
    <w:rsid w:val="001269F5"/>
    <w:rsid w:val="00133AC2"/>
    <w:rsid w:val="001B0A58"/>
    <w:rsid w:val="00224301"/>
    <w:rsid w:val="002249B8"/>
    <w:rsid w:val="002265C1"/>
    <w:rsid w:val="00227878"/>
    <w:rsid w:val="002376BB"/>
    <w:rsid w:val="0025325F"/>
    <w:rsid w:val="002612E3"/>
    <w:rsid w:val="00262FF4"/>
    <w:rsid w:val="00272A69"/>
    <w:rsid w:val="002C4CF3"/>
    <w:rsid w:val="00331FBA"/>
    <w:rsid w:val="0033665B"/>
    <w:rsid w:val="00350F7A"/>
    <w:rsid w:val="00360ED6"/>
    <w:rsid w:val="00367587"/>
    <w:rsid w:val="00392C8B"/>
    <w:rsid w:val="003971DA"/>
    <w:rsid w:val="0042707C"/>
    <w:rsid w:val="00446131"/>
    <w:rsid w:val="00463459"/>
    <w:rsid w:val="004642EF"/>
    <w:rsid w:val="004A18B3"/>
    <w:rsid w:val="004B1D7A"/>
    <w:rsid w:val="004E303F"/>
    <w:rsid w:val="005424C6"/>
    <w:rsid w:val="00554AD8"/>
    <w:rsid w:val="0057785A"/>
    <w:rsid w:val="00581152"/>
    <w:rsid w:val="005A0B86"/>
    <w:rsid w:val="005A3597"/>
    <w:rsid w:val="005F4FC0"/>
    <w:rsid w:val="005F5E1C"/>
    <w:rsid w:val="00606A96"/>
    <w:rsid w:val="00613DCA"/>
    <w:rsid w:val="00625851"/>
    <w:rsid w:val="00635396"/>
    <w:rsid w:val="00640C85"/>
    <w:rsid w:val="00644510"/>
    <w:rsid w:val="00651C79"/>
    <w:rsid w:val="006A0D74"/>
    <w:rsid w:val="006A2A44"/>
    <w:rsid w:val="006A47C1"/>
    <w:rsid w:val="006C4474"/>
    <w:rsid w:val="007076A6"/>
    <w:rsid w:val="007239AB"/>
    <w:rsid w:val="00742058"/>
    <w:rsid w:val="0077181D"/>
    <w:rsid w:val="00773655"/>
    <w:rsid w:val="007938F9"/>
    <w:rsid w:val="007A2171"/>
    <w:rsid w:val="007A3B83"/>
    <w:rsid w:val="007A49FD"/>
    <w:rsid w:val="007B2A27"/>
    <w:rsid w:val="00810C72"/>
    <w:rsid w:val="00833328"/>
    <w:rsid w:val="00845AA4"/>
    <w:rsid w:val="008C1F9C"/>
    <w:rsid w:val="00903E49"/>
    <w:rsid w:val="00925F7A"/>
    <w:rsid w:val="00944E3C"/>
    <w:rsid w:val="0096210E"/>
    <w:rsid w:val="0099684A"/>
    <w:rsid w:val="00A829A2"/>
    <w:rsid w:val="00A96CF1"/>
    <w:rsid w:val="00B03C71"/>
    <w:rsid w:val="00B102E1"/>
    <w:rsid w:val="00B12845"/>
    <w:rsid w:val="00B130B3"/>
    <w:rsid w:val="00B2101C"/>
    <w:rsid w:val="00B5254A"/>
    <w:rsid w:val="00BA1F5A"/>
    <w:rsid w:val="00BD2425"/>
    <w:rsid w:val="00C3470F"/>
    <w:rsid w:val="00C42A27"/>
    <w:rsid w:val="00C61C6D"/>
    <w:rsid w:val="00CD476A"/>
    <w:rsid w:val="00D4693C"/>
    <w:rsid w:val="00D61F12"/>
    <w:rsid w:val="00D640A5"/>
    <w:rsid w:val="00D85442"/>
    <w:rsid w:val="00D95D7E"/>
    <w:rsid w:val="00DB2AC0"/>
    <w:rsid w:val="00DB57AC"/>
    <w:rsid w:val="00E8089E"/>
    <w:rsid w:val="00E9042D"/>
    <w:rsid w:val="00EA1DA6"/>
    <w:rsid w:val="00EA4017"/>
    <w:rsid w:val="00EF762A"/>
    <w:rsid w:val="00F064BA"/>
    <w:rsid w:val="00F31F02"/>
    <w:rsid w:val="00F50808"/>
    <w:rsid w:val="00F9669D"/>
    <w:rsid w:val="00FC43A1"/>
    <w:rsid w:val="00FD3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27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C42A27"/>
    <w:pPr>
      <w:numPr>
        <w:numId w:val="1"/>
      </w:numPr>
      <w:spacing w:after="0" w:line="240" w:lineRule="auto"/>
      <w:ind w:left="0" w:firstLine="709"/>
      <w:outlineLvl w:val="0"/>
    </w:pPr>
    <w:rPr>
      <w:rFonts w:ascii="Times New Roman" w:eastAsia="Times New Roman" w:hAnsi="Times New Roman"/>
      <w:b/>
      <w:sz w:val="28"/>
      <w:szCs w:val="28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42A27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paragraph" w:styleId="a0">
    <w:name w:val="List Paragraph"/>
    <w:basedOn w:val="a"/>
    <w:uiPriority w:val="34"/>
    <w:qFormat/>
    <w:rsid w:val="00C42A2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1F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F31F0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F31F02"/>
    <w:rPr>
      <w:vertAlign w:val="superscript"/>
    </w:rPr>
  </w:style>
  <w:style w:type="table" w:styleId="a7">
    <w:name w:val="Table Grid"/>
    <w:basedOn w:val="a2"/>
    <w:uiPriority w:val="59"/>
    <w:rsid w:val="00F31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size-medium">
    <w:name w:val="a-size-medium"/>
    <w:basedOn w:val="a1"/>
    <w:rsid w:val="00651C79"/>
  </w:style>
  <w:style w:type="character" w:customStyle="1" w:styleId="a-color-secondary">
    <w:name w:val="a-color-secondary"/>
    <w:basedOn w:val="a1"/>
    <w:rsid w:val="00651C79"/>
  </w:style>
  <w:style w:type="character" w:styleId="a8">
    <w:name w:val="Emphasis"/>
    <w:basedOn w:val="a1"/>
    <w:uiPriority w:val="20"/>
    <w:qFormat/>
    <w:rsid w:val="00B130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27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C42A27"/>
    <w:pPr>
      <w:numPr>
        <w:numId w:val="1"/>
      </w:numPr>
      <w:spacing w:after="0" w:line="240" w:lineRule="auto"/>
      <w:ind w:left="0" w:firstLine="709"/>
      <w:outlineLvl w:val="0"/>
    </w:pPr>
    <w:rPr>
      <w:rFonts w:ascii="Times New Roman" w:eastAsia="Times New Roman" w:hAnsi="Times New Roman"/>
      <w:b/>
      <w:sz w:val="28"/>
      <w:szCs w:val="28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42A27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paragraph" w:styleId="a0">
    <w:name w:val="List Paragraph"/>
    <w:basedOn w:val="a"/>
    <w:uiPriority w:val="34"/>
    <w:qFormat/>
    <w:rsid w:val="00C42A2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1F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F31F0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F31F02"/>
    <w:rPr>
      <w:vertAlign w:val="superscript"/>
    </w:rPr>
  </w:style>
  <w:style w:type="table" w:styleId="a7">
    <w:name w:val="Table Grid"/>
    <w:basedOn w:val="a2"/>
    <w:uiPriority w:val="59"/>
    <w:rsid w:val="00F31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size-medium">
    <w:name w:val="a-size-medium"/>
    <w:basedOn w:val="a1"/>
    <w:rsid w:val="00651C79"/>
  </w:style>
  <w:style w:type="character" w:customStyle="1" w:styleId="a-color-secondary">
    <w:name w:val="a-color-secondary"/>
    <w:basedOn w:val="a1"/>
    <w:rsid w:val="00651C79"/>
  </w:style>
  <w:style w:type="character" w:styleId="a8">
    <w:name w:val="Emphasis"/>
    <w:basedOn w:val="a1"/>
    <w:uiPriority w:val="20"/>
    <w:qFormat/>
    <w:rsid w:val="00B130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6723-D12E-4D68-B51F-4838BC0E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Врублевская Мария Викторовна</dc:creator>
  <cp:keywords>new social media;businesss communication;practice-based course</cp:keywords>
  <cp:lastModifiedBy>Чичерина Наталья Васильевна</cp:lastModifiedBy>
  <cp:revision>5</cp:revision>
  <dcterms:created xsi:type="dcterms:W3CDTF">2018-02-28T09:30:00Z</dcterms:created>
  <dcterms:modified xsi:type="dcterms:W3CDTF">2018-03-01T13:45:00Z</dcterms:modified>
</cp:coreProperties>
</file>